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F407" w14:textId="7349CCA2" w:rsidR="00592028" w:rsidRPr="00592028" w:rsidRDefault="00592028" w:rsidP="00592028">
      <w:pPr>
        <w:tabs>
          <w:tab w:val="right" w:pos="1985"/>
          <w:tab w:val="left" w:pos="8080"/>
        </w:tabs>
        <w:overflowPunct/>
        <w:autoSpaceDE/>
        <w:autoSpaceDN/>
        <w:adjustRightInd/>
        <w:spacing w:afterLines="50" w:after="120"/>
        <w:textAlignment w:val="auto"/>
        <w:rPr>
          <w:rFonts w:ascii="Calibri" w:eastAsia="Arial" w:hAnsi="Calibri" w:cs="Arial"/>
          <w:b/>
          <w:bCs/>
          <w:kern w:val="2"/>
          <w:sz w:val="28"/>
          <w:szCs w:val="28"/>
          <w:highlight w:val="yellow"/>
          <w:lang w:val="en-US" w:eastAsia="zh-CN"/>
          <w14:ligatures w14:val="standardContextual"/>
        </w:rPr>
      </w:pPr>
      <w:bookmarkStart w:id="0" w:name="_Hlk140566516"/>
      <w:bookmarkStart w:id="1" w:name="_Hlk181025129"/>
      <w:r w:rsidRPr="00592028">
        <w:rPr>
          <w:rFonts w:ascii="Calibri" w:eastAsia="Arial" w:hAnsi="Calibri" w:cs="Arial"/>
          <w:b/>
          <w:bCs/>
          <w:kern w:val="2"/>
          <w:sz w:val="28"/>
          <w:szCs w:val="28"/>
          <w:lang w:val="en-US" w:eastAsia="zh-CN"/>
          <w14:ligatures w14:val="standardContextual"/>
        </w:rPr>
        <w:t>3GPP TSG-RAN WG2#13</w:t>
      </w:r>
      <w:r w:rsidRPr="00592028">
        <w:rPr>
          <w:rFonts w:ascii="Calibri" w:eastAsia="Yu Mincho" w:hAnsi="Calibri" w:cs="Arial"/>
          <w:b/>
          <w:bCs/>
          <w:kern w:val="2"/>
          <w:sz w:val="28"/>
          <w:szCs w:val="28"/>
          <w:lang w:val="en-US" w:eastAsia="zh-CN"/>
          <w14:ligatures w14:val="standardContextual"/>
        </w:rPr>
        <w:t>3</w:t>
      </w:r>
      <w:r w:rsidRPr="00592028">
        <w:rPr>
          <w:rFonts w:ascii="Calibri" w:eastAsia="Yu Mincho" w:hAnsi="Calibri"/>
          <w:kern w:val="2"/>
          <w:sz w:val="24"/>
          <w:szCs w:val="24"/>
          <w:lang w:val="en-US" w:eastAsia="zh-CN"/>
          <w14:ligatures w14:val="standardContextual"/>
        </w:rPr>
        <w:tab/>
      </w:r>
      <w:r w:rsidRPr="00592028">
        <w:rPr>
          <w:rFonts w:ascii="Calibri" w:eastAsia="Yu Mincho" w:hAnsi="Calibri" w:cs="Arial"/>
          <w:b/>
          <w:bCs/>
          <w:kern w:val="2"/>
          <w:sz w:val="28"/>
          <w:szCs w:val="28"/>
          <w:lang w:val="en-US" w:eastAsia="zh-CN"/>
          <w14:ligatures w14:val="standardContextual"/>
        </w:rPr>
        <w:t>R2-2600341</w:t>
      </w:r>
      <w:r w:rsidRPr="00592028">
        <w:rPr>
          <w:rFonts w:ascii="Calibri" w:eastAsia="Arial" w:hAnsi="Calibri" w:cs="Arial"/>
          <w:b/>
          <w:bCs/>
          <w:kern w:val="2"/>
          <w:sz w:val="28"/>
          <w:szCs w:val="28"/>
          <w:lang w:val="en-US" w:eastAsia="zh-CN"/>
          <w14:ligatures w14:val="standardContextual"/>
        </w:rPr>
        <w:t xml:space="preserve"> </w:t>
      </w:r>
    </w:p>
    <w:bookmarkEnd w:id="0"/>
    <w:bookmarkEnd w:id="1"/>
    <w:p w14:paraId="410C9D44" w14:textId="77777777" w:rsidR="00592028" w:rsidRPr="00592028" w:rsidRDefault="00592028" w:rsidP="00592028">
      <w:pPr>
        <w:tabs>
          <w:tab w:val="right" w:pos="1985"/>
          <w:tab w:val="left" w:pos="8080"/>
        </w:tabs>
        <w:overflowPunct/>
        <w:autoSpaceDE/>
        <w:autoSpaceDN/>
        <w:adjustRightInd/>
        <w:spacing w:afterLines="50" w:after="120"/>
        <w:textAlignment w:val="auto"/>
        <w:rPr>
          <w:rFonts w:ascii="Calibri" w:eastAsia="Yu Mincho" w:hAnsi="Calibri" w:cs="Arial"/>
          <w:b/>
          <w:bCs/>
          <w:kern w:val="2"/>
          <w:sz w:val="28"/>
          <w:szCs w:val="28"/>
          <w:lang w:val="en-US" w:eastAsia="zh-CN"/>
          <w14:ligatures w14:val="standardContextual"/>
        </w:rPr>
      </w:pPr>
      <w:r w:rsidRPr="00592028">
        <w:rPr>
          <w:rFonts w:ascii="Calibri" w:eastAsia="Yu Mincho" w:hAnsi="Calibri" w:cs="Arial"/>
          <w:b/>
          <w:bCs/>
          <w:kern w:val="2"/>
          <w:sz w:val="28"/>
          <w:szCs w:val="28"/>
          <w:lang w:val="en-US" w:eastAsia="zh-CN"/>
          <w14:ligatures w14:val="standardContextual"/>
        </w:rPr>
        <w:t>Gothenburg, Sweden, Feb 9</w:t>
      </w:r>
      <w:r w:rsidRPr="00592028">
        <w:rPr>
          <w:rFonts w:ascii="Calibri" w:eastAsia="Yu Mincho" w:hAnsi="Calibri" w:cs="Arial"/>
          <w:b/>
          <w:bCs/>
          <w:kern w:val="2"/>
          <w:sz w:val="28"/>
          <w:szCs w:val="28"/>
          <w:vertAlign w:val="superscript"/>
          <w:lang w:val="en-US" w:eastAsia="zh-CN"/>
          <w14:ligatures w14:val="standardContextual"/>
        </w:rPr>
        <w:t>th</w:t>
      </w:r>
      <w:r w:rsidRPr="00592028">
        <w:rPr>
          <w:rFonts w:ascii="Calibri" w:eastAsia="Yu Mincho" w:hAnsi="Calibri" w:cs="Arial"/>
          <w:b/>
          <w:bCs/>
          <w:kern w:val="2"/>
          <w:sz w:val="28"/>
          <w:szCs w:val="28"/>
          <w:lang w:val="en-US" w:eastAsia="zh-CN"/>
          <w14:ligatures w14:val="standardContextual"/>
        </w:rPr>
        <w:t xml:space="preserve"> – 13</w:t>
      </w:r>
      <w:r w:rsidRPr="00592028">
        <w:rPr>
          <w:rFonts w:ascii="Calibri" w:eastAsia="Yu Mincho" w:hAnsi="Calibri" w:cs="Arial"/>
          <w:b/>
          <w:bCs/>
          <w:kern w:val="2"/>
          <w:sz w:val="28"/>
          <w:szCs w:val="28"/>
          <w:vertAlign w:val="superscript"/>
          <w:lang w:val="en-US" w:eastAsia="zh-CN"/>
          <w14:ligatures w14:val="standardContextual"/>
        </w:rPr>
        <w:t>th</w:t>
      </w:r>
      <w:r w:rsidRPr="00592028">
        <w:rPr>
          <w:rFonts w:ascii="Calibri" w:eastAsia="Yu Mincho" w:hAnsi="Calibri" w:cs="Arial"/>
          <w:b/>
          <w:bCs/>
          <w:kern w:val="2"/>
          <w:sz w:val="28"/>
          <w:szCs w:val="28"/>
          <w:lang w:val="en-US" w:eastAsia="zh-CN"/>
          <w14:ligatures w14:val="standardContextual"/>
        </w:rPr>
        <w:t>, 2026</w:t>
      </w:r>
    </w:p>
    <w:p w14:paraId="0FCACB62" w14:textId="77777777" w:rsidR="00E76BAD" w:rsidRPr="00592028" w:rsidRDefault="00E76BAD" w:rsidP="00E76BAD">
      <w:pPr>
        <w:pStyle w:val="3GPPHeader"/>
        <w:rPr>
          <w:lang w:val="en-US"/>
        </w:rPr>
      </w:pPr>
    </w:p>
    <w:p w14:paraId="4E3BFFD4" w14:textId="77777777" w:rsidR="00592028" w:rsidRPr="00592028" w:rsidRDefault="00592028" w:rsidP="00592028">
      <w:pPr>
        <w:tabs>
          <w:tab w:val="left" w:pos="1985"/>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 xml:space="preserve">Source: </w:t>
      </w:r>
      <w:r w:rsidRPr="00592028">
        <w:rPr>
          <w:rFonts w:ascii="Calibri" w:eastAsia="Yu Mincho" w:hAnsi="Calibri"/>
          <w:kern w:val="2"/>
          <w:sz w:val="24"/>
          <w:szCs w:val="28"/>
          <w:lang w:val="en-US" w:eastAsia="zh-CN"/>
          <w14:ligatures w14:val="standardContextual"/>
        </w:rPr>
        <w:tab/>
      </w:r>
      <w:r w:rsidRPr="00592028">
        <w:rPr>
          <w:rFonts w:ascii="Calibri" w:eastAsia="Arial" w:hAnsi="Calibri" w:cs="Arial"/>
          <w:b/>
          <w:kern w:val="2"/>
          <w:sz w:val="24"/>
          <w:szCs w:val="28"/>
          <w:lang w:val="en-US" w:eastAsia="zh-CN"/>
          <w14:ligatures w14:val="standardContextual"/>
        </w:rPr>
        <w:t>Fujitsu</w:t>
      </w:r>
    </w:p>
    <w:p w14:paraId="6ED23F01" w14:textId="22920D19"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Agenda item:</w:t>
      </w:r>
      <w:r w:rsidRPr="00592028">
        <w:rPr>
          <w:rFonts w:ascii="Calibri" w:eastAsia="Yu Mincho" w:hAnsi="Calibri"/>
          <w:kern w:val="2"/>
          <w:sz w:val="24"/>
          <w:szCs w:val="28"/>
          <w:lang w:val="en-US" w:eastAsia="zh-CN"/>
          <w14:ligatures w14:val="standardContextual"/>
        </w:rPr>
        <w:tab/>
      </w:r>
      <w:r>
        <w:rPr>
          <w:rFonts w:ascii="Calibri" w:hAnsi="Calibri" w:cs="Arial" w:hint="eastAsia"/>
          <w:b/>
          <w:kern w:val="2"/>
          <w:sz w:val="24"/>
          <w:szCs w:val="28"/>
          <w:lang w:val="en-US" w:eastAsia="zh-CN"/>
          <w14:ligatures w14:val="standardContextual"/>
        </w:rPr>
        <w:t>9.1.2</w:t>
      </w:r>
    </w:p>
    <w:p w14:paraId="12C80526" w14:textId="0DA31305" w:rsidR="00592028" w:rsidRPr="00592028" w:rsidRDefault="00592028" w:rsidP="00592028">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Title:</w:t>
      </w:r>
      <w:bookmarkStart w:id="2" w:name="Title"/>
      <w:bookmarkEnd w:id="2"/>
      <w:r w:rsidRPr="00592028">
        <w:rPr>
          <w:rFonts w:ascii="Calibri" w:eastAsia="Yu Mincho" w:hAnsi="Calibri"/>
          <w:kern w:val="2"/>
          <w:sz w:val="24"/>
          <w:szCs w:val="28"/>
          <w:lang w:val="en-US" w:eastAsia="zh-CN"/>
          <w14:ligatures w14:val="standardContextual"/>
        </w:rPr>
        <w:tab/>
      </w:r>
      <w:r w:rsidRPr="00592028">
        <w:rPr>
          <w:rFonts w:ascii="Calibri" w:eastAsia="Arial" w:hAnsi="Calibri" w:cs="Arial"/>
          <w:b/>
          <w:kern w:val="2"/>
          <w:sz w:val="24"/>
          <w:szCs w:val="28"/>
          <w:lang w:val="en-US" w:eastAsia="zh-CN"/>
          <w14:ligatures w14:val="standardContextual"/>
        </w:rPr>
        <w:t>Discussion on LCM for two-sided model</w:t>
      </w:r>
    </w:p>
    <w:p w14:paraId="1E7A38FB" w14:textId="77777777"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Document for:</w:t>
      </w:r>
      <w:r w:rsidRPr="00592028">
        <w:rPr>
          <w:rFonts w:ascii="Calibri" w:eastAsia="Yu Mincho" w:hAnsi="Calibri"/>
          <w:kern w:val="2"/>
          <w:sz w:val="24"/>
          <w:szCs w:val="28"/>
          <w:lang w:val="en-US" w:eastAsia="zh-CN"/>
          <w14:ligatures w14:val="standardContextual"/>
        </w:rPr>
        <w:tab/>
      </w:r>
      <w:bookmarkStart w:id="3" w:name="DocumentFor"/>
      <w:bookmarkEnd w:id="3"/>
      <w:r w:rsidRPr="00592028">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Heading1"/>
        <w:ind w:left="0" w:firstLine="0"/>
      </w:pPr>
      <w:r w:rsidRPr="00F6384D">
        <w:t>1</w:t>
      </w:r>
      <w:r w:rsidRPr="00F6384D">
        <w:tab/>
        <w:t>Introduction</w:t>
      </w:r>
    </w:p>
    <w:p w14:paraId="6CD7B810" w14:textId="35941ADF" w:rsidR="00AE03C3" w:rsidRPr="0082509E" w:rsidRDefault="00AE03C3" w:rsidP="00AE03C3">
      <w:pPr>
        <w:pStyle w:val="BodyText"/>
        <w:rPr>
          <w:rFonts w:ascii="Times New Roman" w:hAnsi="Times New Roman"/>
          <w:sz w:val="22"/>
          <w:szCs w:val="22"/>
        </w:rPr>
      </w:pPr>
      <w:r w:rsidRPr="0082509E">
        <w:rPr>
          <w:rFonts w:ascii="Times New Roman" w:hAnsi="Times New Roman"/>
          <w:sz w:val="22"/>
          <w:szCs w:val="22"/>
        </w:rPr>
        <w:t>LCM for single-sided model</w:t>
      </w:r>
      <w:r w:rsidR="00DE4799">
        <w:rPr>
          <w:rFonts w:ascii="Times New Roman" w:hAnsi="Times New Roman" w:hint="eastAsia"/>
          <w:sz w:val="22"/>
          <w:szCs w:val="22"/>
        </w:rPr>
        <w:t>s</w:t>
      </w:r>
      <w:r w:rsidRPr="0082509E">
        <w:rPr>
          <w:rFonts w:ascii="Times New Roman" w:hAnsi="Times New Roman"/>
          <w:sz w:val="22"/>
          <w:szCs w:val="22"/>
        </w:rPr>
        <w:t xml:space="preserve"> has been </w:t>
      </w:r>
      <w:r w:rsidR="00DE4799">
        <w:rPr>
          <w:rFonts w:ascii="Times New Roman" w:hAnsi="Times New Roman"/>
          <w:sz w:val="22"/>
          <w:szCs w:val="22"/>
        </w:rPr>
        <w:t>studied</w:t>
      </w:r>
      <w:r w:rsidR="00DE4799">
        <w:rPr>
          <w:rFonts w:ascii="Times New Roman" w:hAnsi="Times New Roman" w:hint="eastAsia"/>
          <w:sz w:val="22"/>
          <w:szCs w:val="22"/>
        </w:rPr>
        <w:t xml:space="preserve"> and </w:t>
      </w:r>
      <w:r w:rsidRPr="0082509E">
        <w:rPr>
          <w:rFonts w:ascii="Times New Roman" w:hAnsi="Times New Roman"/>
          <w:sz w:val="22"/>
          <w:szCs w:val="22"/>
        </w:rPr>
        <w:t xml:space="preserve">specified for the </w:t>
      </w:r>
      <w:r w:rsidR="00DE4799">
        <w:rPr>
          <w:rFonts w:ascii="Times New Roman" w:hAnsi="Times New Roman" w:hint="eastAsia"/>
          <w:sz w:val="22"/>
          <w:szCs w:val="22"/>
        </w:rPr>
        <w:t xml:space="preserve">several AI/ML </w:t>
      </w:r>
      <w:r w:rsidRPr="0082509E">
        <w:rPr>
          <w:rFonts w:ascii="Times New Roman" w:hAnsi="Times New Roman"/>
          <w:sz w:val="22"/>
          <w:szCs w:val="22"/>
        </w:rPr>
        <w:t xml:space="preserve">use cases </w:t>
      </w:r>
      <w:r w:rsidR="00DE4799">
        <w:rPr>
          <w:rFonts w:ascii="Times New Roman" w:hAnsi="Times New Roman" w:hint="eastAsia"/>
          <w:sz w:val="22"/>
          <w:szCs w:val="22"/>
        </w:rPr>
        <w:t>including</w:t>
      </w:r>
      <w:r w:rsidRPr="0082509E">
        <w:rPr>
          <w:rFonts w:ascii="Times New Roman" w:hAnsi="Times New Roman"/>
          <w:sz w:val="22"/>
          <w:szCs w:val="22"/>
        </w:rPr>
        <w:t xml:space="preserve"> beam management, CSI-prediction and positioning</w:t>
      </w:r>
      <w:r w:rsidR="00DE4799">
        <w:rPr>
          <w:rFonts w:ascii="Times New Roman" w:hAnsi="Times New Roman" w:hint="eastAsia"/>
          <w:sz w:val="22"/>
          <w:szCs w:val="22"/>
        </w:rPr>
        <w:t xml:space="preserve"> in Rel-18 and Rel-19</w:t>
      </w:r>
      <w:r w:rsidRPr="0082509E">
        <w:rPr>
          <w:rFonts w:ascii="Times New Roman" w:hAnsi="Times New Roman"/>
          <w:sz w:val="22"/>
          <w:szCs w:val="22"/>
        </w:rPr>
        <w:t xml:space="preserve">. </w:t>
      </w:r>
    </w:p>
    <w:p w14:paraId="7E16F123" w14:textId="59E2AB98" w:rsidR="00486C91" w:rsidRDefault="00DE4799" w:rsidP="00AE03C3">
      <w:pPr>
        <w:pStyle w:val="BodyText"/>
        <w:rPr>
          <w:rFonts w:ascii="Times New Roman" w:hAnsi="Times New Roman"/>
          <w:iCs/>
          <w:sz w:val="22"/>
          <w:szCs w:val="22"/>
        </w:rPr>
      </w:pPr>
      <w:r>
        <w:rPr>
          <w:rFonts w:ascii="Times New Roman" w:hAnsi="Times New Roman" w:hint="eastAsia"/>
          <w:sz w:val="22"/>
          <w:szCs w:val="22"/>
        </w:rPr>
        <w:t xml:space="preserve">While for two-sided model, AI/ML-based CSI feedback is the only </w:t>
      </w:r>
      <w:r w:rsidR="00486C91">
        <w:rPr>
          <w:rFonts w:ascii="Times New Roman" w:hAnsi="Times New Roman"/>
          <w:sz w:val="22"/>
          <w:szCs w:val="22"/>
        </w:rPr>
        <w:t>representative</w:t>
      </w:r>
      <w:r>
        <w:rPr>
          <w:rFonts w:ascii="Times New Roman" w:hAnsi="Times New Roman" w:hint="eastAsia"/>
          <w:sz w:val="22"/>
          <w:szCs w:val="22"/>
        </w:rPr>
        <w:t xml:space="preserve"> use case in 3GPP. Its normative work starts from RAN1 first in Rel-20. </w:t>
      </w:r>
      <w:r w:rsidR="00AE03C3" w:rsidRPr="0082509E">
        <w:rPr>
          <w:rFonts w:ascii="Times New Roman" w:hAnsi="Times New Roman"/>
          <w:iCs/>
          <w:sz w:val="22"/>
          <w:szCs w:val="22"/>
        </w:rPr>
        <w:t>According to the WID</w:t>
      </w:r>
      <w:r w:rsidR="0082509E" w:rsidRPr="0082509E">
        <w:rPr>
          <w:rFonts w:ascii="Times New Roman" w:hAnsi="Times New Roman"/>
          <w:iCs/>
          <w:sz w:val="22"/>
          <w:szCs w:val="22"/>
        </w:rPr>
        <w:t xml:space="preserve"> </w:t>
      </w:r>
      <w:r w:rsidR="0082509E" w:rsidRPr="0082509E">
        <w:rPr>
          <w:rFonts w:ascii="Times New Roman" w:hAnsi="Times New Roman"/>
          <w:iCs/>
          <w:sz w:val="22"/>
          <w:szCs w:val="22"/>
        </w:rPr>
        <w:fldChar w:fldCharType="begin"/>
      </w:r>
      <w:r w:rsidR="0082509E" w:rsidRPr="0082509E">
        <w:rPr>
          <w:rFonts w:ascii="Times New Roman" w:hAnsi="Times New Roman"/>
          <w:iCs/>
          <w:sz w:val="22"/>
          <w:szCs w:val="22"/>
        </w:rPr>
        <w:instrText xml:space="preserve"> REF _Ref220000766 \r \h  \* MERGEFORMAT </w:instrText>
      </w:r>
      <w:r w:rsidR="0082509E" w:rsidRPr="0082509E">
        <w:rPr>
          <w:rFonts w:ascii="Times New Roman" w:hAnsi="Times New Roman"/>
          <w:iCs/>
          <w:sz w:val="22"/>
          <w:szCs w:val="22"/>
        </w:rPr>
      </w:r>
      <w:r w:rsidR="0082509E" w:rsidRPr="0082509E">
        <w:rPr>
          <w:rFonts w:ascii="Times New Roman" w:hAnsi="Times New Roman"/>
          <w:iCs/>
          <w:sz w:val="22"/>
          <w:szCs w:val="22"/>
        </w:rPr>
        <w:fldChar w:fldCharType="separate"/>
      </w:r>
      <w:r w:rsidR="0082509E" w:rsidRPr="0082509E">
        <w:rPr>
          <w:rFonts w:ascii="Times New Roman" w:hAnsi="Times New Roman"/>
          <w:iCs/>
          <w:sz w:val="22"/>
          <w:szCs w:val="22"/>
        </w:rPr>
        <w:t>[1]</w:t>
      </w:r>
      <w:r w:rsidR="0082509E" w:rsidRPr="0082509E">
        <w:rPr>
          <w:rFonts w:ascii="Times New Roman" w:hAnsi="Times New Roman"/>
          <w:iCs/>
          <w:sz w:val="22"/>
          <w:szCs w:val="22"/>
        </w:rPr>
        <w:fldChar w:fldCharType="end"/>
      </w:r>
      <w:r w:rsidR="00AE03C3" w:rsidRPr="0082509E">
        <w:rPr>
          <w:rFonts w:ascii="Times New Roman" w:hAnsi="Times New Roman"/>
          <w:iCs/>
          <w:sz w:val="22"/>
          <w:szCs w:val="22"/>
        </w:rPr>
        <w:t xml:space="preserve">, </w:t>
      </w:r>
      <w:r w:rsidR="00486C91" w:rsidRPr="00486C91">
        <w:rPr>
          <w:rFonts w:ascii="Times New Roman" w:hAnsi="Times New Roman"/>
          <w:iCs/>
          <w:sz w:val="22"/>
          <w:szCs w:val="22"/>
        </w:rPr>
        <w:t>LCM to facilitate model training, inference, performance monitoring</w:t>
      </w:r>
      <w:r w:rsidR="00486C91">
        <w:rPr>
          <w:rFonts w:ascii="Times New Roman" w:hAnsi="Times New Roman" w:hint="eastAsia"/>
          <w:iCs/>
          <w:sz w:val="22"/>
          <w:szCs w:val="22"/>
        </w:rPr>
        <w:t>, and</w:t>
      </w:r>
      <w:r w:rsidR="00486C91" w:rsidRPr="00486C91">
        <w:rPr>
          <w:rFonts w:ascii="Times New Roman" w:hAnsi="Times New Roman" w:hint="eastAsia"/>
          <w:iCs/>
          <w:sz w:val="22"/>
          <w:szCs w:val="22"/>
        </w:rPr>
        <w:t xml:space="preserve"> </w:t>
      </w:r>
      <w:r w:rsidR="00486C91" w:rsidRPr="00486C91">
        <w:rPr>
          <w:rFonts w:ascii="Times New Roman" w:hAnsi="Times New Roman"/>
          <w:iCs/>
          <w:sz w:val="22"/>
          <w:szCs w:val="22"/>
        </w:rPr>
        <w:t xml:space="preserve">LCM </w:t>
      </w:r>
      <w:r w:rsidR="00486C91">
        <w:rPr>
          <w:rFonts w:ascii="Times New Roman" w:hAnsi="Times New Roman" w:hint="eastAsia"/>
          <w:iCs/>
          <w:sz w:val="22"/>
          <w:szCs w:val="22"/>
        </w:rPr>
        <w:t xml:space="preserve">to </w:t>
      </w:r>
      <w:r w:rsidR="00486C91" w:rsidRPr="00486C91">
        <w:rPr>
          <w:rFonts w:ascii="Times New Roman" w:hAnsi="Times New Roman"/>
          <w:iCs/>
          <w:sz w:val="22"/>
          <w:szCs w:val="22"/>
        </w:rPr>
        <w:t>enabl</w:t>
      </w:r>
      <w:r w:rsidR="00486C91">
        <w:rPr>
          <w:rFonts w:ascii="Times New Roman" w:hAnsi="Times New Roman" w:hint="eastAsia"/>
          <w:iCs/>
          <w:sz w:val="22"/>
          <w:szCs w:val="22"/>
        </w:rPr>
        <w:t>e</w:t>
      </w:r>
      <w:r w:rsidR="00486C91" w:rsidRPr="00486C91">
        <w:rPr>
          <w:rFonts w:ascii="Times New Roman" w:hAnsi="Times New Roman"/>
          <w:iCs/>
          <w:sz w:val="22"/>
          <w:szCs w:val="22"/>
        </w:rPr>
        <w:t xml:space="preserve"> functionality and model selection, activation, deactivation, switching, fallback</w:t>
      </w:r>
      <w:r w:rsidR="00486C91">
        <w:rPr>
          <w:rFonts w:ascii="Times New Roman" w:hAnsi="Times New Roman" w:hint="eastAsia"/>
          <w:iCs/>
          <w:sz w:val="22"/>
          <w:szCs w:val="22"/>
        </w:rPr>
        <w:t xml:space="preserve"> are in the scope of RAN2 work.</w:t>
      </w:r>
    </w:p>
    <w:p w14:paraId="19B688C9" w14:textId="5CA5AF4B" w:rsidR="00AE03C3" w:rsidRPr="0082509E" w:rsidRDefault="00AE03C3" w:rsidP="00AE03C3">
      <w:pPr>
        <w:pStyle w:val="BodyText"/>
        <w:rPr>
          <w:rFonts w:ascii="Times New Roman" w:hAnsi="Times New Roman"/>
          <w:sz w:val="22"/>
          <w:szCs w:val="22"/>
        </w:rPr>
      </w:pPr>
      <w:r w:rsidRPr="0082509E">
        <w:rPr>
          <w:rFonts w:ascii="Times New Roman" w:hAnsi="Times New Roman"/>
          <w:sz w:val="22"/>
          <w:szCs w:val="22"/>
        </w:rPr>
        <w:t xml:space="preserve">This paper is to address our views on the LCM for two-sided model with </w:t>
      </w:r>
      <w:r w:rsidR="00DE4799">
        <w:rPr>
          <w:rFonts w:ascii="Times New Roman" w:hAnsi="Times New Roman" w:hint="eastAsia"/>
          <w:sz w:val="22"/>
          <w:szCs w:val="22"/>
        </w:rPr>
        <w:t xml:space="preserve">the </w:t>
      </w:r>
      <w:r w:rsidRPr="0082509E">
        <w:rPr>
          <w:rFonts w:ascii="Times New Roman" w:hAnsi="Times New Roman"/>
          <w:sz w:val="22"/>
          <w:szCs w:val="22"/>
        </w:rPr>
        <w:t>focus on the unique feature of two-sided model</w:t>
      </w:r>
      <w:r w:rsidR="003A17B6" w:rsidRPr="0082509E">
        <w:rPr>
          <w:rFonts w:ascii="Times New Roman" w:hAnsi="Times New Roman"/>
          <w:sz w:val="22"/>
          <w:szCs w:val="22"/>
        </w:rPr>
        <w:t>,</w:t>
      </w:r>
      <w:r w:rsidRPr="0082509E">
        <w:rPr>
          <w:rFonts w:ascii="Times New Roman" w:hAnsi="Times New Roman"/>
          <w:sz w:val="22"/>
          <w:szCs w:val="22"/>
        </w:rPr>
        <w:t xml:space="preserve"> pairing ID and pairing procedure</w:t>
      </w:r>
      <w:r w:rsidR="0054236C" w:rsidRPr="0082509E">
        <w:rPr>
          <w:rFonts w:ascii="Times New Roman" w:hAnsi="Times New Roman"/>
          <w:sz w:val="22"/>
          <w:szCs w:val="22"/>
        </w:rPr>
        <w:t>.</w:t>
      </w:r>
    </w:p>
    <w:p w14:paraId="5D2A411D" w14:textId="32C2ED8D" w:rsidR="00801006" w:rsidRPr="00801006" w:rsidRDefault="00541EEB" w:rsidP="00CA4BE4">
      <w:pPr>
        <w:pStyle w:val="Heading1"/>
        <w:rPr>
          <w:lang w:eastAsia="zh-CN"/>
        </w:rPr>
      </w:pPr>
      <w:r>
        <w:t>2</w:t>
      </w:r>
      <w:r w:rsidRPr="00F6384D">
        <w:tab/>
      </w:r>
      <w:r w:rsidR="0054236C">
        <w:rPr>
          <w:rFonts w:hint="eastAsia"/>
          <w:lang w:eastAsia="zh-CN"/>
        </w:rPr>
        <w:t>Pairing ID</w:t>
      </w:r>
    </w:p>
    <w:p w14:paraId="57186E23" w14:textId="6D991910" w:rsidR="001F521E" w:rsidRPr="0082509E" w:rsidRDefault="000B49E9" w:rsidP="004E466A">
      <w:pPr>
        <w:pStyle w:val="BodyText"/>
        <w:rPr>
          <w:rFonts w:ascii="Times New Roman" w:hAnsi="Times New Roman"/>
          <w:iCs/>
          <w:sz w:val="22"/>
          <w:szCs w:val="22"/>
        </w:rPr>
      </w:pPr>
      <w:r w:rsidRPr="0082509E">
        <w:rPr>
          <w:rFonts w:ascii="Times New Roman" w:hAnsi="Times New Roman"/>
          <w:sz w:val="22"/>
          <w:szCs w:val="22"/>
        </w:rPr>
        <w:t xml:space="preserve">Different from single-sided models, </w:t>
      </w:r>
      <w:r w:rsidRPr="0082509E">
        <w:rPr>
          <w:rFonts w:ascii="Times New Roman" w:hAnsi="Times New Roman"/>
          <w:iCs/>
          <w:sz w:val="22"/>
          <w:szCs w:val="22"/>
        </w:rPr>
        <w:t xml:space="preserve">inter-vendor collaborations are necessary for the development of two-sided models in the model training stage. According to RAN1 study, </w:t>
      </w:r>
      <w:r w:rsidR="001F521E" w:rsidRPr="0082509E">
        <w:rPr>
          <w:rFonts w:ascii="Times New Roman" w:hAnsi="Times New Roman"/>
          <w:iCs/>
          <w:sz w:val="22"/>
          <w:szCs w:val="22"/>
        </w:rPr>
        <w:t>various directions and sub-options in each direction are applicable for inter-vendor collaborations, and three schemes are in the scope of the WID:</w:t>
      </w:r>
    </w:p>
    <w:p w14:paraId="3370B914" w14:textId="5707F79C" w:rsidR="001F521E" w:rsidRPr="0082509E" w:rsidRDefault="001F521E" w:rsidP="001F521E">
      <w:pPr>
        <w:pStyle w:val="ListParagraph"/>
        <w:numPr>
          <w:ilvl w:val="0"/>
          <w:numId w:val="42"/>
        </w:numPr>
        <w:rPr>
          <w:rFonts w:ascii="Times New Roman" w:eastAsiaTheme="minorEastAsia" w:hAnsi="Times New Roman"/>
          <w:iCs/>
          <w:lang w:val="en-GB" w:eastAsia="zh-CN"/>
        </w:rPr>
      </w:pPr>
      <w:r w:rsidRPr="0082509E">
        <w:rPr>
          <w:rFonts w:ascii="Times New Roman" w:eastAsiaTheme="minorEastAsia" w:hAnsi="Times New Roman"/>
          <w:iCs/>
          <w:lang w:val="en-GB" w:eastAsia="zh-CN"/>
        </w:rPr>
        <w:t>Direction A, sub-option 4-1: Specification of standardized dataset format/content plus dataset exchange</w:t>
      </w:r>
    </w:p>
    <w:p w14:paraId="569C2E05" w14:textId="50F05D81" w:rsidR="001F521E" w:rsidRPr="0082509E" w:rsidRDefault="001F521E" w:rsidP="001F521E">
      <w:pPr>
        <w:pStyle w:val="ListParagraph"/>
        <w:numPr>
          <w:ilvl w:val="0"/>
          <w:numId w:val="42"/>
        </w:numPr>
        <w:rPr>
          <w:rFonts w:ascii="Times New Roman" w:eastAsiaTheme="minorEastAsia" w:hAnsi="Times New Roman"/>
          <w:iCs/>
          <w:lang w:val="en-GB" w:eastAsia="zh-CN"/>
        </w:rPr>
      </w:pPr>
      <w:r w:rsidRPr="0082509E">
        <w:rPr>
          <w:rFonts w:ascii="Times New Roman" w:eastAsiaTheme="minorEastAsia" w:hAnsi="Times New Roman"/>
          <w:iCs/>
          <w:lang w:val="en-GB" w:eastAsia="zh-CN"/>
        </w:rPr>
        <w:t>Direction A, sub-option 3a-1: Specification of standardized encoder model structure plus parameter exchange</w:t>
      </w:r>
    </w:p>
    <w:p w14:paraId="6177E120" w14:textId="7A09D56C" w:rsidR="0082509E" w:rsidRDefault="00E218ED" w:rsidP="0082509E">
      <w:pPr>
        <w:pStyle w:val="ListParagraph"/>
        <w:numPr>
          <w:ilvl w:val="0"/>
          <w:numId w:val="42"/>
        </w:numPr>
        <w:rPr>
          <w:rFonts w:ascii="Times New Roman" w:eastAsiaTheme="minorEastAsia" w:hAnsi="Times New Roman"/>
          <w:iCs/>
          <w:lang w:val="en-GB" w:eastAsia="zh-CN"/>
        </w:rPr>
      </w:pPr>
      <w:r w:rsidRPr="0082509E">
        <w:rPr>
          <w:rFonts w:ascii="Times New Roman" w:eastAsiaTheme="minorEastAsia" w:hAnsi="Times New Roman"/>
          <w:iCs/>
          <w:lang w:val="en-GB" w:eastAsia="zh-CN"/>
        </w:rPr>
        <w:t>Direction C: Fully defined/specified reference model</w:t>
      </w:r>
    </w:p>
    <w:p w14:paraId="47A27655" w14:textId="77777777" w:rsidR="0082509E" w:rsidRPr="0082509E" w:rsidRDefault="0082509E" w:rsidP="0082509E">
      <w:pPr>
        <w:pStyle w:val="ListParagraph"/>
        <w:ind w:left="440"/>
        <w:rPr>
          <w:rFonts w:ascii="Times New Roman" w:eastAsiaTheme="minorEastAsia" w:hAnsi="Times New Roman"/>
          <w:iCs/>
          <w:lang w:val="en-GB" w:eastAsia="zh-CN"/>
        </w:rPr>
      </w:pPr>
    </w:p>
    <w:p w14:paraId="3F55907B" w14:textId="7C16B35D" w:rsidR="006F19E9" w:rsidRPr="0082509E" w:rsidRDefault="006F19E9" w:rsidP="006F19E9">
      <w:pPr>
        <w:pStyle w:val="BodyText"/>
        <w:rPr>
          <w:rFonts w:ascii="Times New Roman" w:hAnsi="Times New Roman"/>
          <w:sz w:val="22"/>
          <w:szCs w:val="22"/>
        </w:rPr>
      </w:pPr>
      <w:r w:rsidRPr="0082509E">
        <w:rPr>
          <w:rFonts w:ascii="Times New Roman" w:hAnsi="Times New Roman"/>
          <w:sz w:val="22"/>
          <w:szCs w:val="22"/>
        </w:rPr>
        <w:t>According to the study in TR38.843</w:t>
      </w:r>
      <w:r w:rsidR="0082509E">
        <w:rPr>
          <w:rFonts w:ascii="Times New Roman" w:hAnsi="Times New Roman"/>
          <w:sz w:val="22"/>
          <w:szCs w:val="22"/>
        </w:rPr>
        <w:fldChar w:fldCharType="begin"/>
      </w:r>
      <w:r w:rsidR="0082509E">
        <w:rPr>
          <w:rFonts w:ascii="Times New Roman" w:hAnsi="Times New Roman"/>
          <w:sz w:val="22"/>
          <w:szCs w:val="22"/>
        </w:rPr>
        <w:instrText xml:space="preserve"> REF _Ref220000856 \r \h </w:instrText>
      </w:r>
      <w:r w:rsidR="0082509E">
        <w:rPr>
          <w:rFonts w:ascii="Times New Roman" w:hAnsi="Times New Roman"/>
          <w:sz w:val="22"/>
          <w:szCs w:val="22"/>
        </w:rPr>
      </w:r>
      <w:r w:rsidR="0082509E">
        <w:rPr>
          <w:rFonts w:ascii="Times New Roman" w:hAnsi="Times New Roman"/>
          <w:sz w:val="22"/>
          <w:szCs w:val="22"/>
        </w:rPr>
        <w:fldChar w:fldCharType="separate"/>
      </w:r>
      <w:r w:rsidR="0082509E">
        <w:rPr>
          <w:rFonts w:ascii="Times New Roman" w:hAnsi="Times New Roman"/>
          <w:sz w:val="22"/>
          <w:szCs w:val="22"/>
        </w:rPr>
        <w:t>[2]</w:t>
      </w:r>
      <w:r w:rsidR="0082509E">
        <w:rPr>
          <w:rFonts w:ascii="Times New Roman" w:hAnsi="Times New Roman"/>
          <w:sz w:val="22"/>
          <w:szCs w:val="22"/>
        </w:rPr>
        <w:fldChar w:fldCharType="end"/>
      </w:r>
      <w:r w:rsidRPr="0082509E">
        <w:rPr>
          <w:rFonts w:ascii="Times New Roman" w:hAnsi="Times New Roman"/>
          <w:sz w:val="22"/>
          <w:szCs w:val="22"/>
        </w:rPr>
        <w:t>, pairing ID build the linkage between model training stage and model inference stage for two-sided model. Relying on the pairing ID based applicability handshake, UE and NW can recognize whether the encoder at UE side and the decoder at NW side can work together or not.</w:t>
      </w:r>
    </w:p>
    <w:p w14:paraId="58EFAE23" w14:textId="2422BD6F" w:rsidR="00614B1E" w:rsidRDefault="00614B1E" w:rsidP="00CA4BE4">
      <w:pPr>
        <w:pStyle w:val="Heading2"/>
      </w:pPr>
      <w:r>
        <w:t>2.1</w:t>
      </w:r>
      <w:r w:rsidR="006F19E9">
        <w:rPr>
          <w:rFonts w:hint="eastAsia"/>
          <w:lang w:eastAsia="zh-CN"/>
        </w:rPr>
        <w:t xml:space="preserve"> </w:t>
      </w:r>
      <w:r w:rsidR="0054236C">
        <w:rPr>
          <w:rFonts w:hint="eastAsia"/>
          <w:lang w:eastAsia="zh-CN"/>
        </w:rPr>
        <w:t>Pairing ID for Option 4-1</w:t>
      </w:r>
    </w:p>
    <w:p w14:paraId="1E3A784F" w14:textId="05D8430A" w:rsidR="00733C3B" w:rsidRPr="0082509E" w:rsidRDefault="00733C3B" w:rsidP="00733C3B">
      <w:pPr>
        <w:pStyle w:val="BodyText"/>
        <w:numPr>
          <w:ilvl w:val="0"/>
          <w:numId w:val="43"/>
        </w:numPr>
        <w:rPr>
          <w:rFonts w:ascii="Times New Roman" w:hAnsi="Times New Roman"/>
          <w:b/>
          <w:bCs/>
          <w:sz w:val="22"/>
          <w:szCs w:val="22"/>
        </w:rPr>
      </w:pPr>
      <w:r w:rsidRPr="0082509E">
        <w:rPr>
          <w:rFonts w:ascii="Times New Roman" w:hAnsi="Times New Roman"/>
          <w:b/>
          <w:bCs/>
          <w:sz w:val="22"/>
          <w:szCs w:val="22"/>
        </w:rPr>
        <w:t>Model training stage:</w:t>
      </w:r>
    </w:p>
    <w:p w14:paraId="59BCA0C1" w14:textId="71EC6B0F" w:rsidR="00E218ED" w:rsidRPr="0082509E" w:rsidRDefault="006F19E9" w:rsidP="00C569CE">
      <w:pPr>
        <w:pStyle w:val="BodyText"/>
        <w:rPr>
          <w:rFonts w:ascii="Times New Roman" w:hAnsi="Times New Roman"/>
          <w:sz w:val="22"/>
          <w:szCs w:val="22"/>
        </w:rPr>
      </w:pPr>
      <w:r w:rsidRPr="0082509E">
        <w:rPr>
          <w:rFonts w:ascii="Times New Roman" w:hAnsi="Times New Roman"/>
          <w:sz w:val="22"/>
          <w:szCs w:val="22"/>
        </w:rPr>
        <w:t xml:space="preserve">For Option 4-1 under Direction A in AI/ML based CSI compression, </w:t>
      </w:r>
      <w:r w:rsidR="00733C3B" w:rsidRPr="0082509E">
        <w:rPr>
          <w:rFonts w:ascii="Times New Roman" w:hAnsi="Times New Roman"/>
          <w:sz w:val="22"/>
          <w:szCs w:val="22"/>
        </w:rPr>
        <w:t>NW-side is assumed to do model training first. Both its actual decoder and the nominal encoder paired with the actual decoder are developed. After that, the NW side will exchange the dataset(s) to UE-side for the encoder training at the UE-side to realize inter-vendor collaboration. The dataset exchange procedure is assumed as non-OTA procedure. A</w:t>
      </w:r>
      <w:r w:rsidRPr="0082509E">
        <w:rPr>
          <w:rFonts w:ascii="Times New Roman" w:hAnsi="Times New Roman"/>
          <w:sz w:val="22"/>
          <w:szCs w:val="22"/>
        </w:rPr>
        <w:t xml:space="preserve">ccording to RAN1 discussions, </w:t>
      </w:r>
      <w:bookmarkStart w:id="4" w:name="_Hlk219992992"/>
      <w:r w:rsidR="00733C3B" w:rsidRPr="0082509E">
        <w:rPr>
          <w:rFonts w:ascii="Times New Roman" w:hAnsi="Times New Roman"/>
          <w:sz w:val="22"/>
          <w:szCs w:val="22"/>
        </w:rPr>
        <w:t xml:space="preserve">a </w:t>
      </w:r>
      <w:r w:rsidRPr="0082509E">
        <w:rPr>
          <w:rFonts w:ascii="Times New Roman" w:hAnsi="Times New Roman"/>
          <w:sz w:val="22"/>
          <w:szCs w:val="22"/>
        </w:rPr>
        <w:t xml:space="preserve">single pairing ID </w:t>
      </w:r>
      <w:r w:rsidR="00733C3B" w:rsidRPr="0082509E">
        <w:rPr>
          <w:rFonts w:ascii="Times New Roman" w:hAnsi="Times New Roman"/>
          <w:sz w:val="22"/>
          <w:szCs w:val="22"/>
        </w:rPr>
        <w:t xml:space="preserve">is exchanged from </w:t>
      </w:r>
      <w:r w:rsidRPr="0082509E">
        <w:rPr>
          <w:rFonts w:ascii="Times New Roman" w:hAnsi="Times New Roman"/>
          <w:sz w:val="22"/>
          <w:szCs w:val="22"/>
        </w:rPr>
        <w:t xml:space="preserve">along with </w:t>
      </w:r>
      <w:r w:rsidR="00733C3B" w:rsidRPr="0082509E">
        <w:rPr>
          <w:rFonts w:ascii="Times New Roman" w:hAnsi="Times New Roman"/>
          <w:sz w:val="22"/>
          <w:szCs w:val="22"/>
        </w:rPr>
        <w:t xml:space="preserve">a </w:t>
      </w:r>
      <w:r w:rsidRPr="0082509E">
        <w:rPr>
          <w:rFonts w:ascii="Times New Roman" w:hAnsi="Times New Roman"/>
          <w:sz w:val="22"/>
          <w:szCs w:val="22"/>
        </w:rPr>
        <w:t xml:space="preserve">dataset </w:t>
      </w:r>
      <w:r w:rsidR="00733C3B" w:rsidRPr="0082509E">
        <w:rPr>
          <w:rFonts w:ascii="Times New Roman" w:hAnsi="Times New Roman"/>
          <w:sz w:val="22"/>
          <w:szCs w:val="22"/>
        </w:rPr>
        <w:t>transfer together</w:t>
      </w:r>
      <w:bookmarkEnd w:id="4"/>
      <w:r w:rsidRPr="0082509E">
        <w:rPr>
          <w:rFonts w:ascii="Times New Roman" w:hAnsi="Times New Roman"/>
          <w:sz w:val="22"/>
          <w:szCs w:val="22"/>
        </w:rPr>
        <w:t>.</w:t>
      </w:r>
    </w:p>
    <w:p w14:paraId="07F38FD3" w14:textId="2DBE5C2E" w:rsidR="00733C3B" w:rsidRPr="0082509E" w:rsidRDefault="00733C3B" w:rsidP="00733C3B">
      <w:pPr>
        <w:pStyle w:val="BodyText"/>
        <w:numPr>
          <w:ilvl w:val="0"/>
          <w:numId w:val="43"/>
        </w:numPr>
        <w:rPr>
          <w:rFonts w:ascii="Times New Roman" w:hAnsi="Times New Roman"/>
          <w:b/>
          <w:bCs/>
          <w:sz w:val="22"/>
          <w:szCs w:val="22"/>
        </w:rPr>
      </w:pPr>
      <w:r w:rsidRPr="0082509E">
        <w:rPr>
          <w:rFonts w:ascii="Times New Roman" w:hAnsi="Times New Roman"/>
          <w:b/>
          <w:bCs/>
          <w:sz w:val="22"/>
          <w:szCs w:val="22"/>
        </w:rPr>
        <w:t>Model inference stage:</w:t>
      </w:r>
    </w:p>
    <w:p w14:paraId="0380D740" w14:textId="5905EF07" w:rsidR="00733C3B" w:rsidRPr="0082509E" w:rsidRDefault="00733C3B" w:rsidP="00C569CE">
      <w:pPr>
        <w:pStyle w:val="BodyText"/>
        <w:rPr>
          <w:rFonts w:ascii="Times New Roman" w:hAnsi="Times New Roman"/>
          <w:sz w:val="22"/>
          <w:szCs w:val="22"/>
        </w:rPr>
      </w:pPr>
      <w:r w:rsidRPr="0082509E">
        <w:rPr>
          <w:rFonts w:ascii="Times New Roman" w:hAnsi="Times New Roman"/>
          <w:sz w:val="22"/>
          <w:szCs w:val="22"/>
        </w:rPr>
        <w:t xml:space="preserve">Before </w:t>
      </w:r>
      <w:r w:rsidR="00BE1591" w:rsidRPr="0082509E">
        <w:rPr>
          <w:rFonts w:ascii="Times New Roman" w:hAnsi="Times New Roman"/>
          <w:sz w:val="22"/>
          <w:szCs w:val="22"/>
        </w:rPr>
        <w:t xml:space="preserve">running a two-sided model, model pairing procedure is necessary and is the unique procedure of two-sided model. </w:t>
      </w:r>
      <w:r w:rsidR="004E769D" w:rsidRPr="0082509E">
        <w:rPr>
          <w:rFonts w:ascii="Times New Roman" w:hAnsi="Times New Roman"/>
          <w:sz w:val="22"/>
          <w:szCs w:val="22"/>
        </w:rPr>
        <w:t>The alignment of pairing ID between NW and UE is the key point in the pairing procedure.</w:t>
      </w:r>
    </w:p>
    <w:p w14:paraId="19C91ADC" w14:textId="6A7DE801" w:rsidR="004E769D" w:rsidRPr="0082509E" w:rsidRDefault="004E769D" w:rsidP="004E769D">
      <w:pPr>
        <w:pStyle w:val="BodyText"/>
        <w:numPr>
          <w:ilvl w:val="0"/>
          <w:numId w:val="43"/>
        </w:numPr>
        <w:rPr>
          <w:rFonts w:ascii="Times New Roman" w:hAnsi="Times New Roman"/>
          <w:b/>
          <w:bCs/>
          <w:sz w:val="22"/>
          <w:szCs w:val="22"/>
        </w:rPr>
      </w:pPr>
      <w:bookmarkStart w:id="5" w:name="_Hlk219997748"/>
      <w:r w:rsidRPr="0082509E">
        <w:rPr>
          <w:rFonts w:ascii="Times New Roman" w:hAnsi="Times New Roman"/>
          <w:b/>
          <w:bCs/>
          <w:sz w:val="22"/>
          <w:szCs w:val="22"/>
        </w:rPr>
        <w:t>Issue: Uniqueness of pairing ID</w:t>
      </w:r>
    </w:p>
    <w:bookmarkEnd w:id="5"/>
    <w:p w14:paraId="1968E611" w14:textId="66C104C0" w:rsidR="004E769D" w:rsidRPr="004E769D" w:rsidRDefault="004E769D" w:rsidP="004E769D">
      <w:pPr>
        <w:pStyle w:val="BodyText"/>
        <w:rPr>
          <w:rFonts w:ascii="Times New Roman" w:hAnsi="Times New Roman"/>
          <w:sz w:val="22"/>
          <w:szCs w:val="22"/>
        </w:rPr>
      </w:pPr>
      <w:r w:rsidRPr="004E769D">
        <w:rPr>
          <w:rFonts w:ascii="Times New Roman" w:hAnsi="Times New Roman"/>
          <w:sz w:val="22"/>
          <w:szCs w:val="22"/>
        </w:rPr>
        <w:t>Considering the UE side will receive multiple datasets from different NW vendors for its model training, it is reasonable to use a global unique ID to identify each dataset transferred from NW vendor</w:t>
      </w:r>
      <w:r w:rsidRPr="0082509E">
        <w:rPr>
          <w:rFonts w:ascii="Times New Roman" w:hAnsi="Times New Roman"/>
          <w:sz w:val="22"/>
          <w:szCs w:val="22"/>
        </w:rPr>
        <w:t>s</w:t>
      </w:r>
      <w:r w:rsidRPr="004E769D">
        <w:rPr>
          <w:rFonts w:ascii="Times New Roman" w:hAnsi="Times New Roman"/>
          <w:sz w:val="22"/>
          <w:szCs w:val="22"/>
        </w:rPr>
        <w:t xml:space="preserve">. </w:t>
      </w:r>
    </w:p>
    <w:p w14:paraId="768E2448" w14:textId="1806256A" w:rsidR="00733C3B" w:rsidRPr="0082509E" w:rsidRDefault="004E769D" w:rsidP="004E769D">
      <w:pPr>
        <w:pStyle w:val="BodyText"/>
        <w:rPr>
          <w:rFonts w:ascii="Times New Roman" w:hAnsi="Times New Roman"/>
          <w:sz w:val="22"/>
          <w:szCs w:val="22"/>
        </w:rPr>
      </w:pPr>
      <w:r w:rsidRPr="0082509E">
        <w:rPr>
          <w:rFonts w:ascii="Times New Roman" w:hAnsi="Times New Roman"/>
          <w:sz w:val="22"/>
          <w:szCs w:val="22"/>
        </w:rPr>
        <w:lastRenderedPageBreak/>
        <w:t xml:space="preserve">The pairing ID could be unique per PLMN and further bounded with the PLMN ID for achieving the global uniqueness. It is also possible that multiple operators collaborate with relevant NW vendors to develop common dataset(s) for NW-side decoder development. The pairing ID may not be unique per PLMN in this scheme. By which way to achieve the global uniqueness could be further discussed or left </w:t>
      </w:r>
      <w:r w:rsidR="00EC441F" w:rsidRPr="0082509E">
        <w:rPr>
          <w:rFonts w:ascii="Times New Roman" w:hAnsi="Times New Roman"/>
          <w:sz w:val="22"/>
          <w:szCs w:val="22"/>
        </w:rPr>
        <w:t>for</w:t>
      </w:r>
      <w:r w:rsidRPr="0082509E">
        <w:rPr>
          <w:rFonts w:ascii="Times New Roman" w:hAnsi="Times New Roman"/>
          <w:sz w:val="22"/>
          <w:szCs w:val="22"/>
        </w:rPr>
        <w:t xml:space="preserve"> SA discussions. </w:t>
      </w:r>
      <w:r w:rsidR="00EC441F" w:rsidRPr="0082509E">
        <w:rPr>
          <w:rFonts w:ascii="Times New Roman" w:hAnsi="Times New Roman"/>
          <w:sz w:val="22"/>
          <w:szCs w:val="22"/>
        </w:rPr>
        <w:t>At least the</w:t>
      </w:r>
      <w:r w:rsidRPr="0082509E">
        <w:rPr>
          <w:rFonts w:ascii="Times New Roman" w:hAnsi="Times New Roman"/>
          <w:sz w:val="22"/>
          <w:szCs w:val="22"/>
        </w:rPr>
        <w:t xml:space="preserve"> global uniqueness</w:t>
      </w:r>
      <w:r w:rsidR="00EC441F" w:rsidRPr="0082509E">
        <w:rPr>
          <w:rFonts w:ascii="Times New Roman" w:hAnsi="Times New Roman"/>
          <w:sz w:val="22"/>
          <w:szCs w:val="22"/>
        </w:rPr>
        <w:t xml:space="preserve"> of pairing ID</w:t>
      </w:r>
      <w:r w:rsidRPr="0082509E">
        <w:rPr>
          <w:rFonts w:ascii="Times New Roman" w:hAnsi="Times New Roman"/>
          <w:sz w:val="22"/>
          <w:szCs w:val="22"/>
        </w:rPr>
        <w:t xml:space="preserve"> can be confirmed first</w:t>
      </w:r>
      <w:r w:rsidR="00EC441F" w:rsidRPr="0082509E">
        <w:rPr>
          <w:rFonts w:ascii="Times New Roman" w:hAnsi="Times New Roman"/>
          <w:sz w:val="22"/>
          <w:szCs w:val="22"/>
        </w:rPr>
        <w:t xml:space="preserve"> from RAN2 perspective.</w:t>
      </w:r>
    </w:p>
    <w:p w14:paraId="35D38C54" w14:textId="1C827C07" w:rsidR="00EC441F" w:rsidRPr="0082509E" w:rsidRDefault="00EC441F" w:rsidP="00541EEB">
      <w:pPr>
        <w:pStyle w:val="Proposal"/>
        <w:rPr>
          <w:rFonts w:ascii="Times New Roman" w:hAnsi="Times New Roman"/>
          <w:sz w:val="22"/>
          <w:szCs w:val="22"/>
        </w:rPr>
      </w:pPr>
      <w:bookmarkStart w:id="6" w:name="_Toc163203694"/>
      <w:r w:rsidRPr="0082509E">
        <w:rPr>
          <w:rFonts w:ascii="Times New Roman" w:hAnsi="Times New Roman"/>
          <w:sz w:val="22"/>
          <w:szCs w:val="22"/>
        </w:rPr>
        <w:t>For Option 4-1 under Direction A in AI/ML based CSI compression, RAN2 concludes that the pairing ID is a global unique ID.</w:t>
      </w:r>
    </w:p>
    <w:bookmarkEnd w:id="6"/>
    <w:p w14:paraId="748A95D6" w14:textId="4CF749E1" w:rsidR="00EC441F" w:rsidRDefault="00EC441F" w:rsidP="00EC441F">
      <w:pPr>
        <w:pStyle w:val="Heading2"/>
      </w:pPr>
      <w:r>
        <w:t>2.</w:t>
      </w:r>
      <w:r>
        <w:rPr>
          <w:rFonts w:hint="eastAsia"/>
          <w:lang w:eastAsia="zh-CN"/>
        </w:rPr>
        <w:t>2 Pairing ID for Option 3a-1</w:t>
      </w:r>
    </w:p>
    <w:p w14:paraId="12983735" w14:textId="799FB258" w:rsidR="00EC441F" w:rsidRPr="008B64B9" w:rsidRDefault="00EC441F" w:rsidP="00EC441F">
      <w:pPr>
        <w:pStyle w:val="BodyText"/>
        <w:rPr>
          <w:rFonts w:ascii="Times New Roman" w:hAnsi="Times New Roman"/>
          <w:sz w:val="22"/>
          <w:szCs w:val="22"/>
        </w:rPr>
      </w:pPr>
      <w:r w:rsidRPr="008B64B9">
        <w:rPr>
          <w:rFonts w:ascii="Times New Roman" w:hAnsi="Times New Roman"/>
          <w:sz w:val="22"/>
          <w:szCs w:val="22"/>
        </w:rPr>
        <w:t xml:space="preserve">The check point of Option 3a-1 under Direction A in AI/ML based CSI compression in the WID has been removed according to the progress in RANP#110. </w:t>
      </w:r>
    </w:p>
    <w:p w14:paraId="7A3F7EFA" w14:textId="4B944AB8" w:rsidR="00EC441F" w:rsidRPr="008B64B9" w:rsidRDefault="006D4902" w:rsidP="00EC441F">
      <w:pPr>
        <w:pStyle w:val="BodyText"/>
        <w:rPr>
          <w:rFonts w:ascii="Times New Roman" w:hAnsi="Times New Roman"/>
          <w:sz w:val="22"/>
          <w:szCs w:val="22"/>
        </w:rPr>
      </w:pPr>
      <w:r w:rsidRPr="008B64B9">
        <w:rPr>
          <w:rFonts w:ascii="Times New Roman" w:hAnsi="Times New Roman"/>
          <w:sz w:val="22"/>
          <w:szCs w:val="22"/>
        </w:rPr>
        <w:t xml:space="preserve">For Option 3a-1, </w:t>
      </w:r>
      <w:r w:rsidR="007F4940" w:rsidRPr="008B64B9">
        <w:rPr>
          <w:rFonts w:ascii="Times New Roman" w:hAnsi="Times New Roman"/>
          <w:sz w:val="22"/>
          <w:szCs w:val="22"/>
        </w:rPr>
        <w:t>different from dataset exchange, encoder parameters will be transferred from NW-side to UE-side after NW-first training via non-OTA scheme. The UE-side can combine the transferred model parameters with the standardized encoder structure together to form a reference encoder</w:t>
      </w:r>
      <w:r w:rsidR="00D35E2F" w:rsidRPr="008B64B9">
        <w:rPr>
          <w:rFonts w:ascii="Times New Roman" w:hAnsi="Times New Roman"/>
          <w:sz w:val="22"/>
          <w:szCs w:val="22"/>
        </w:rPr>
        <w:t xml:space="preserve"> and use it to train</w:t>
      </w:r>
      <w:r w:rsidR="007F4940" w:rsidRPr="008B64B9">
        <w:rPr>
          <w:rFonts w:ascii="Times New Roman" w:hAnsi="Times New Roman"/>
          <w:sz w:val="22"/>
          <w:szCs w:val="22"/>
        </w:rPr>
        <w:t xml:space="preserve"> its actual </w:t>
      </w:r>
      <w:r w:rsidR="00D35E2F" w:rsidRPr="008B64B9">
        <w:rPr>
          <w:rFonts w:ascii="Times New Roman" w:hAnsi="Times New Roman"/>
          <w:sz w:val="22"/>
          <w:szCs w:val="22"/>
        </w:rPr>
        <w:t xml:space="preserve">encoder. Usually, the size of a dataset is larger than the size of a model parameter set. Since both the dataset transfer and model parameter transfer are assumed as non-OTA procedure, a common framework can be reused. In this sense, </w:t>
      </w:r>
      <w:r w:rsidR="00977CE6" w:rsidRPr="008B64B9">
        <w:rPr>
          <w:rFonts w:ascii="Times New Roman" w:hAnsi="Times New Roman"/>
          <w:sz w:val="22"/>
          <w:szCs w:val="22"/>
        </w:rPr>
        <w:t>s</w:t>
      </w:r>
      <w:r w:rsidR="007F4940" w:rsidRPr="008B64B9">
        <w:rPr>
          <w:rFonts w:ascii="Times New Roman" w:hAnsi="Times New Roman"/>
          <w:sz w:val="22"/>
          <w:szCs w:val="22"/>
        </w:rPr>
        <w:t>imilar as t</w:t>
      </w:r>
      <w:r w:rsidR="00977CE6" w:rsidRPr="008B64B9">
        <w:rPr>
          <w:rFonts w:ascii="Times New Roman" w:hAnsi="Times New Roman"/>
          <w:sz w:val="22"/>
          <w:szCs w:val="22"/>
        </w:rPr>
        <w:t>hat of</w:t>
      </w:r>
      <w:r w:rsidR="007F4940" w:rsidRPr="008B64B9">
        <w:rPr>
          <w:rFonts w:ascii="Times New Roman" w:hAnsi="Times New Roman"/>
          <w:sz w:val="22"/>
          <w:szCs w:val="22"/>
        </w:rPr>
        <w:t xml:space="preserve"> dataset </w:t>
      </w:r>
      <w:r w:rsidR="00977CE6" w:rsidRPr="008B64B9">
        <w:rPr>
          <w:rFonts w:ascii="Times New Roman" w:hAnsi="Times New Roman"/>
          <w:sz w:val="22"/>
          <w:szCs w:val="22"/>
        </w:rPr>
        <w:t>exchange in Option 4-1</w:t>
      </w:r>
      <w:r w:rsidR="007F4940" w:rsidRPr="008B64B9">
        <w:rPr>
          <w:rFonts w:ascii="Times New Roman" w:hAnsi="Times New Roman"/>
          <w:sz w:val="22"/>
          <w:szCs w:val="22"/>
        </w:rPr>
        <w:t xml:space="preserve">, a pairing ID should be assigned to </w:t>
      </w:r>
      <w:r w:rsidR="00977CE6" w:rsidRPr="008B64B9">
        <w:rPr>
          <w:rFonts w:ascii="Times New Roman" w:hAnsi="Times New Roman"/>
          <w:sz w:val="22"/>
          <w:szCs w:val="22"/>
        </w:rPr>
        <w:t>a</w:t>
      </w:r>
      <w:r w:rsidR="007F4940" w:rsidRPr="008B64B9">
        <w:rPr>
          <w:rFonts w:ascii="Times New Roman" w:hAnsi="Times New Roman"/>
          <w:sz w:val="22"/>
          <w:szCs w:val="22"/>
        </w:rPr>
        <w:t xml:space="preserve"> model parameter set</w:t>
      </w:r>
      <w:r w:rsidR="00977CE6" w:rsidRPr="008B64B9">
        <w:rPr>
          <w:rFonts w:ascii="Times New Roman" w:hAnsi="Times New Roman"/>
          <w:sz w:val="22"/>
          <w:szCs w:val="22"/>
        </w:rPr>
        <w:t xml:space="preserve"> (parameters of the reference encoder) </w:t>
      </w:r>
      <w:r w:rsidR="007F4940" w:rsidRPr="008B64B9">
        <w:rPr>
          <w:rFonts w:ascii="Times New Roman" w:hAnsi="Times New Roman"/>
          <w:sz w:val="22"/>
          <w:szCs w:val="22"/>
        </w:rPr>
        <w:t xml:space="preserve">and transferred to UE-side along with the </w:t>
      </w:r>
      <w:r w:rsidR="00977CE6" w:rsidRPr="008B64B9">
        <w:rPr>
          <w:rFonts w:ascii="Times New Roman" w:hAnsi="Times New Roman"/>
          <w:sz w:val="22"/>
          <w:szCs w:val="22"/>
        </w:rPr>
        <w:t>model parameter set</w:t>
      </w:r>
      <w:r w:rsidR="007F4940" w:rsidRPr="008B64B9">
        <w:rPr>
          <w:rFonts w:ascii="Times New Roman" w:hAnsi="Times New Roman"/>
          <w:sz w:val="22"/>
          <w:szCs w:val="22"/>
        </w:rPr>
        <w:t>.</w:t>
      </w:r>
    </w:p>
    <w:p w14:paraId="40BD22C3" w14:textId="21884D13" w:rsidR="00CC6DA8" w:rsidRDefault="00CC6DA8" w:rsidP="00CC6DA8">
      <w:pPr>
        <w:pStyle w:val="Proposal"/>
        <w:rPr>
          <w:rFonts w:ascii="Times New Roman" w:hAnsi="Times New Roman"/>
          <w:sz w:val="22"/>
          <w:szCs w:val="22"/>
        </w:rPr>
      </w:pPr>
      <w:r w:rsidRPr="008B64B9">
        <w:rPr>
          <w:rFonts w:ascii="Times New Roman" w:hAnsi="Times New Roman"/>
          <w:sz w:val="22"/>
          <w:szCs w:val="22"/>
        </w:rPr>
        <w:t>For Option 3a-1 under Direction A in AI/ML based CSI compression, one pairing ID is assigned to one model parameter set of reference encoder.</w:t>
      </w:r>
    </w:p>
    <w:p w14:paraId="7A6A47F1" w14:textId="77777777" w:rsidR="008B64B9" w:rsidRPr="008B64B9" w:rsidRDefault="008B64B9" w:rsidP="008B64B9">
      <w:pPr>
        <w:pStyle w:val="Proposal"/>
        <w:numPr>
          <w:ilvl w:val="0"/>
          <w:numId w:val="0"/>
        </w:numPr>
        <w:rPr>
          <w:rFonts w:ascii="Times New Roman" w:hAnsi="Times New Roman"/>
          <w:sz w:val="22"/>
          <w:szCs w:val="22"/>
        </w:rPr>
      </w:pPr>
    </w:p>
    <w:p w14:paraId="09A45413" w14:textId="4F0DAA6B" w:rsidR="00F9744D" w:rsidRPr="008B64B9" w:rsidRDefault="00E8422F" w:rsidP="00E8422F">
      <w:pPr>
        <w:pStyle w:val="BodyText"/>
        <w:rPr>
          <w:rFonts w:ascii="Times New Roman" w:hAnsi="Times New Roman"/>
          <w:b/>
          <w:bCs/>
          <w:sz w:val="22"/>
          <w:szCs w:val="22"/>
        </w:rPr>
      </w:pPr>
      <w:r w:rsidRPr="008B64B9">
        <w:rPr>
          <w:rFonts w:ascii="Times New Roman" w:hAnsi="Times New Roman"/>
          <w:b/>
          <w:bCs/>
          <w:sz w:val="22"/>
          <w:szCs w:val="22"/>
        </w:rPr>
        <w:t>•</w:t>
      </w:r>
      <w:r w:rsidRPr="008B64B9">
        <w:rPr>
          <w:rFonts w:ascii="Times New Roman" w:hAnsi="Times New Roman"/>
          <w:b/>
          <w:bCs/>
          <w:sz w:val="22"/>
          <w:szCs w:val="22"/>
        </w:rPr>
        <w:tab/>
        <w:t>Issue: Uniqueness of pairing ID</w:t>
      </w:r>
    </w:p>
    <w:p w14:paraId="22D8A13E" w14:textId="7984AD8C" w:rsidR="00F9744D" w:rsidRPr="00F9744D" w:rsidRDefault="00F9744D" w:rsidP="00F9744D">
      <w:pPr>
        <w:pStyle w:val="BodyText"/>
        <w:rPr>
          <w:rFonts w:ascii="Times New Roman" w:hAnsi="Times New Roman"/>
          <w:sz w:val="22"/>
          <w:szCs w:val="22"/>
        </w:rPr>
      </w:pPr>
      <w:r w:rsidRPr="008B64B9">
        <w:rPr>
          <w:rFonts w:ascii="Times New Roman" w:hAnsi="Times New Roman"/>
          <w:sz w:val="22"/>
          <w:szCs w:val="22"/>
        </w:rPr>
        <w:t xml:space="preserve">Similar as Option 4-1, </w:t>
      </w:r>
      <w:r w:rsidRPr="00F9744D">
        <w:rPr>
          <w:rFonts w:ascii="Times New Roman" w:hAnsi="Times New Roman"/>
          <w:sz w:val="22"/>
          <w:szCs w:val="22"/>
        </w:rPr>
        <w:t xml:space="preserve">the UE side will receive multiple model parameter sets from different NW vendors for its model training, </w:t>
      </w:r>
      <w:r w:rsidRPr="008B64B9">
        <w:rPr>
          <w:rFonts w:ascii="Times New Roman" w:hAnsi="Times New Roman"/>
          <w:sz w:val="22"/>
          <w:szCs w:val="22"/>
        </w:rPr>
        <w:t xml:space="preserve">again, </w:t>
      </w:r>
      <w:r w:rsidRPr="00F9744D">
        <w:rPr>
          <w:rFonts w:ascii="Times New Roman" w:hAnsi="Times New Roman"/>
          <w:sz w:val="22"/>
          <w:szCs w:val="22"/>
        </w:rPr>
        <w:t>it is reasonable to use a global unique ID to identify each model parameter set transferred from NW vendor</w:t>
      </w:r>
      <w:r w:rsidRPr="008B64B9">
        <w:rPr>
          <w:rFonts w:ascii="Times New Roman" w:hAnsi="Times New Roman"/>
          <w:sz w:val="22"/>
          <w:szCs w:val="22"/>
        </w:rPr>
        <w:t>s</w:t>
      </w:r>
      <w:r w:rsidRPr="00F9744D">
        <w:rPr>
          <w:rFonts w:ascii="Times New Roman" w:hAnsi="Times New Roman"/>
          <w:sz w:val="22"/>
          <w:szCs w:val="22"/>
        </w:rPr>
        <w:t xml:space="preserve">. </w:t>
      </w:r>
    </w:p>
    <w:p w14:paraId="717556EA" w14:textId="20EF3BDB" w:rsidR="007606D2" w:rsidRPr="008B64B9" w:rsidRDefault="00F9744D" w:rsidP="00756EB2">
      <w:pPr>
        <w:pStyle w:val="BodyText"/>
        <w:rPr>
          <w:rFonts w:ascii="Times New Roman" w:hAnsi="Times New Roman"/>
          <w:sz w:val="22"/>
          <w:szCs w:val="22"/>
        </w:rPr>
      </w:pPr>
      <w:r w:rsidRPr="00F9744D">
        <w:rPr>
          <w:rFonts w:ascii="Times New Roman" w:hAnsi="Times New Roman"/>
          <w:sz w:val="22"/>
          <w:szCs w:val="22"/>
        </w:rPr>
        <w:t xml:space="preserve">The indicator of </w:t>
      </w:r>
      <w:r w:rsidRPr="008B64B9">
        <w:rPr>
          <w:rFonts w:ascii="Times New Roman" w:hAnsi="Times New Roman"/>
          <w:sz w:val="22"/>
          <w:szCs w:val="22"/>
        </w:rPr>
        <w:t xml:space="preserve">the standardized </w:t>
      </w:r>
      <w:r w:rsidRPr="00F9744D">
        <w:rPr>
          <w:rFonts w:ascii="Times New Roman" w:hAnsi="Times New Roman"/>
          <w:sz w:val="22"/>
          <w:szCs w:val="22"/>
        </w:rPr>
        <w:t xml:space="preserve">model structure could be specified with the standardized model structure together. The </w:t>
      </w:r>
      <w:r w:rsidRPr="008B64B9">
        <w:rPr>
          <w:rFonts w:ascii="Times New Roman" w:hAnsi="Times New Roman"/>
          <w:sz w:val="22"/>
          <w:szCs w:val="22"/>
        </w:rPr>
        <w:t xml:space="preserve">pairing </w:t>
      </w:r>
      <w:r w:rsidRPr="00F9744D">
        <w:rPr>
          <w:rFonts w:ascii="Times New Roman" w:hAnsi="Times New Roman"/>
          <w:sz w:val="22"/>
          <w:szCs w:val="22"/>
        </w:rPr>
        <w:t xml:space="preserve">ID for model parameter set </w:t>
      </w:r>
      <w:r w:rsidRPr="008B64B9">
        <w:rPr>
          <w:rFonts w:ascii="Times New Roman" w:hAnsi="Times New Roman"/>
          <w:sz w:val="22"/>
          <w:szCs w:val="22"/>
        </w:rPr>
        <w:t>can</w:t>
      </w:r>
      <w:r w:rsidRPr="00F9744D">
        <w:rPr>
          <w:rFonts w:ascii="Times New Roman" w:hAnsi="Times New Roman"/>
          <w:sz w:val="22"/>
          <w:szCs w:val="22"/>
        </w:rPr>
        <w:t xml:space="preserve"> include </w:t>
      </w:r>
      <w:r w:rsidRPr="008B64B9">
        <w:rPr>
          <w:rFonts w:ascii="Times New Roman" w:hAnsi="Times New Roman"/>
          <w:sz w:val="22"/>
          <w:szCs w:val="22"/>
        </w:rPr>
        <w:t xml:space="preserve">a part of </w:t>
      </w:r>
      <w:r w:rsidRPr="00F9744D">
        <w:rPr>
          <w:rFonts w:ascii="Times New Roman" w:hAnsi="Times New Roman"/>
          <w:sz w:val="22"/>
          <w:szCs w:val="22"/>
        </w:rPr>
        <w:t xml:space="preserve">the standardized model structure </w:t>
      </w:r>
      <w:r w:rsidRPr="008B64B9">
        <w:rPr>
          <w:rFonts w:ascii="Times New Roman" w:hAnsi="Times New Roman"/>
          <w:sz w:val="22"/>
          <w:szCs w:val="22"/>
        </w:rPr>
        <w:t xml:space="preserve">ID </w:t>
      </w:r>
      <w:r w:rsidRPr="00F9744D">
        <w:rPr>
          <w:rFonts w:ascii="Times New Roman" w:hAnsi="Times New Roman"/>
          <w:sz w:val="22"/>
          <w:szCs w:val="22"/>
        </w:rPr>
        <w:t xml:space="preserve">and </w:t>
      </w:r>
      <w:r w:rsidRPr="008B64B9">
        <w:rPr>
          <w:rFonts w:ascii="Times New Roman" w:hAnsi="Times New Roman"/>
          <w:sz w:val="22"/>
          <w:szCs w:val="22"/>
        </w:rPr>
        <w:t>a part of NW vendor-specific or PLMN specific ID</w:t>
      </w:r>
      <w:r w:rsidRPr="00F9744D">
        <w:rPr>
          <w:rFonts w:ascii="Times New Roman" w:hAnsi="Times New Roman"/>
          <w:sz w:val="22"/>
          <w:szCs w:val="22"/>
        </w:rPr>
        <w:t xml:space="preserve">. </w:t>
      </w:r>
      <w:r w:rsidR="00756EB2" w:rsidRPr="008B64B9">
        <w:rPr>
          <w:rFonts w:ascii="Times New Roman" w:hAnsi="Times New Roman"/>
          <w:sz w:val="22"/>
          <w:szCs w:val="22"/>
        </w:rPr>
        <w:t>How to achieve the global uniqueness of Option 3a-1 can be studied with the same issue for Option 4-1 together. RAN2 can conclude it is a global unique ID first.</w:t>
      </w:r>
    </w:p>
    <w:p w14:paraId="7FC672B5" w14:textId="4ACCF49B" w:rsidR="00800D96" w:rsidRPr="008B64B9" w:rsidRDefault="00CC6DA8" w:rsidP="00EC441F">
      <w:pPr>
        <w:pStyle w:val="Proposal"/>
        <w:rPr>
          <w:rFonts w:ascii="Times New Roman" w:hAnsi="Times New Roman"/>
          <w:sz w:val="22"/>
          <w:szCs w:val="22"/>
          <w:lang w:val="en-US"/>
        </w:rPr>
      </w:pPr>
      <w:r w:rsidRPr="00CC6DA8">
        <w:rPr>
          <w:rFonts w:ascii="Times New Roman" w:hAnsi="Times New Roman"/>
          <w:sz w:val="22"/>
          <w:szCs w:val="22"/>
          <w:lang w:val="en-US"/>
        </w:rPr>
        <w:t>For Option 3a-1 under Direction A in AI/ML based CSI compression, RAN2 concludes that the pairing ID is a global unique ID.</w:t>
      </w:r>
    </w:p>
    <w:p w14:paraId="4DD5945C" w14:textId="6AC4E97F" w:rsidR="00800D96" w:rsidRPr="00801006" w:rsidRDefault="00800D96" w:rsidP="00800D96">
      <w:pPr>
        <w:pStyle w:val="Heading1"/>
        <w:rPr>
          <w:lang w:eastAsia="zh-CN"/>
        </w:rPr>
      </w:pPr>
      <w:r>
        <w:rPr>
          <w:rFonts w:hint="eastAsia"/>
          <w:lang w:eastAsia="zh-CN"/>
        </w:rPr>
        <w:t>3</w:t>
      </w:r>
      <w:r w:rsidRPr="00F6384D">
        <w:tab/>
      </w:r>
      <w:r>
        <w:rPr>
          <w:rFonts w:hint="eastAsia"/>
          <w:lang w:eastAsia="zh-CN"/>
        </w:rPr>
        <w:t>Pairing procedure</w:t>
      </w:r>
    </w:p>
    <w:p w14:paraId="458EE65F" w14:textId="2A891CE1" w:rsidR="00800D96" w:rsidRPr="008B64B9" w:rsidRDefault="00800D96" w:rsidP="00EC441F">
      <w:pPr>
        <w:pStyle w:val="BodyText"/>
        <w:rPr>
          <w:rFonts w:ascii="Times New Roman" w:hAnsi="Times New Roman"/>
          <w:sz w:val="22"/>
          <w:szCs w:val="22"/>
        </w:rPr>
      </w:pPr>
      <w:r w:rsidRPr="008B64B9">
        <w:rPr>
          <w:rFonts w:ascii="Times New Roman" w:hAnsi="Times New Roman"/>
          <w:sz w:val="22"/>
          <w:szCs w:val="22"/>
        </w:rPr>
        <w:t>Referring to RAN1 discussions, the applicability report procedure of Rel-19 AI/ML beam management for UE side model is taken as the starting point. While, whether to support both Option A (</w:t>
      </w:r>
      <w:r w:rsidRPr="008B64B9">
        <w:rPr>
          <w:rFonts w:ascii="Times New Roman" w:hAnsi="Times New Roman"/>
          <w:i/>
          <w:iCs/>
          <w:sz w:val="22"/>
          <w:szCs w:val="22"/>
        </w:rPr>
        <w:t>CS</w:t>
      </w:r>
      <w:r w:rsidR="00E8422F" w:rsidRPr="008B64B9">
        <w:rPr>
          <w:rFonts w:ascii="Times New Roman" w:hAnsi="Times New Roman"/>
          <w:i/>
          <w:iCs/>
          <w:sz w:val="22"/>
          <w:szCs w:val="22"/>
        </w:rPr>
        <w:t>I-</w:t>
      </w:r>
      <w:r w:rsidR="00DE4799" w:rsidRPr="008B64B9">
        <w:rPr>
          <w:rFonts w:ascii="Times New Roman" w:hAnsi="Times New Roman"/>
          <w:i/>
          <w:iCs/>
          <w:sz w:val="22"/>
          <w:szCs w:val="22"/>
        </w:rPr>
        <w:t>Reportioning</w:t>
      </w:r>
      <w:r w:rsidR="00E8422F" w:rsidRPr="008B64B9">
        <w:rPr>
          <w:rFonts w:ascii="Times New Roman" w:hAnsi="Times New Roman"/>
          <w:sz w:val="22"/>
          <w:szCs w:val="22"/>
        </w:rPr>
        <w:t xml:space="preserve"> for inference configuration</w:t>
      </w:r>
      <w:r w:rsidRPr="008B64B9">
        <w:rPr>
          <w:rFonts w:ascii="Times New Roman" w:hAnsi="Times New Roman"/>
          <w:sz w:val="22"/>
          <w:szCs w:val="22"/>
        </w:rPr>
        <w:t>)</w:t>
      </w:r>
      <w:r w:rsidR="00E8422F" w:rsidRPr="008B64B9">
        <w:rPr>
          <w:rFonts w:ascii="Times New Roman" w:hAnsi="Times New Roman"/>
          <w:sz w:val="22"/>
          <w:szCs w:val="22"/>
        </w:rPr>
        <w:t xml:space="preserve"> and Option B (Sets of inference related parameters for applicability report only) is FFS and up to RAN2 for detailed study.</w:t>
      </w:r>
    </w:p>
    <w:p w14:paraId="5E8926D5" w14:textId="48F252EB" w:rsidR="007B6941" w:rsidRPr="008B64B9" w:rsidRDefault="007B6941" w:rsidP="00E8422F">
      <w:pPr>
        <w:pStyle w:val="BodyText"/>
        <w:rPr>
          <w:rFonts w:ascii="Times New Roman" w:hAnsi="Times New Roman"/>
          <w:sz w:val="22"/>
          <w:szCs w:val="22"/>
        </w:rPr>
      </w:pPr>
      <w:r w:rsidRPr="008B64B9">
        <w:rPr>
          <w:rFonts w:ascii="Times New Roman" w:hAnsi="Times New Roman"/>
          <w:sz w:val="22"/>
          <w:szCs w:val="22"/>
        </w:rPr>
        <w:t xml:space="preserve">For </w:t>
      </w:r>
      <w:r w:rsidR="00E8422F" w:rsidRPr="00E8422F">
        <w:rPr>
          <w:rFonts w:ascii="Times New Roman" w:hAnsi="Times New Roman"/>
          <w:sz w:val="22"/>
          <w:szCs w:val="22"/>
        </w:rPr>
        <w:t>Option A</w:t>
      </w:r>
      <w:r w:rsidRPr="008B64B9">
        <w:rPr>
          <w:rFonts w:ascii="Times New Roman" w:hAnsi="Times New Roman"/>
          <w:sz w:val="22"/>
          <w:szCs w:val="22"/>
        </w:rPr>
        <w:t>, the i</w:t>
      </w:r>
      <w:r w:rsidR="00E8422F" w:rsidRPr="00E8422F">
        <w:rPr>
          <w:rFonts w:ascii="Times New Roman" w:hAnsi="Times New Roman"/>
          <w:sz w:val="22"/>
          <w:szCs w:val="22"/>
        </w:rPr>
        <w:t xml:space="preserve">nference configurations are all provided within </w:t>
      </w:r>
      <w:r w:rsidR="00E8422F" w:rsidRPr="00E8422F">
        <w:rPr>
          <w:rFonts w:ascii="Times New Roman" w:hAnsi="Times New Roman"/>
          <w:i/>
          <w:iCs/>
          <w:sz w:val="22"/>
          <w:szCs w:val="22"/>
        </w:rPr>
        <w:t>CSI-</w:t>
      </w:r>
      <w:r w:rsidR="00DE4799" w:rsidRPr="00E8422F">
        <w:rPr>
          <w:rFonts w:ascii="Times New Roman" w:hAnsi="Times New Roman"/>
          <w:i/>
          <w:iCs/>
          <w:sz w:val="22"/>
          <w:szCs w:val="22"/>
        </w:rPr>
        <w:t>reapportioning</w:t>
      </w:r>
      <w:r w:rsidR="00E8422F" w:rsidRPr="00E8422F">
        <w:rPr>
          <w:rFonts w:ascii="Times New Roman" w:hAnsi="Times New Roman"/>
          <w:i/>
          <w:iCs/>
          <w:sz w:val="22"/>
          <w:szCs w:val="22"/>
        </w:rPr>
        <w:t xml:space="preserve"> </w:t>
      </w:r>
      <w:r w:rsidR="00E8422F" w:rsidRPr="00E8422F">
        <w:rPr>
          <w:rFonts w:ascii="Times New Roman" w:hAnsi="Times New Roman"/>
          <w:sz w:val="22"/>
          <w:szCs w:val="22"/>
        </w:rPr>
        <w:t>in Step 3</w:t>
      </w:r>
      <w:r w:rsidRPr="008B64B9">
        <w:rPr>
          <w:rFonts w:ascii="Times New Roman" w:hAnsi="Times New Roman"/>
          <w:sz w:val="22"/>
          <w:szCs w:val="22"/>
        </w:rPr>
        <w:t xml:space="preserve"> from NW to UE. If the NW has no prior encoder information of the UE,</w:t>
      </w:r>
      <w:r w:rsidR="00E8422F" w:rsidRPr="00E8422F">
        <w:rPr>
          <w:rFonts w:ascii="Times New Roman" w:hAnsi="Times New Roman"/>
          <w:sz w:val="22"/>
          <w:szCs w:val="22"/>
        </w:rPr>
        <w:t xml:space="preserve"> </w:t>
      </w:r>
      <w:r w:rsidRPr="008B64B9">
        <w:rPr>
          <w:rFonts w:ascii="Times New Roman" w:hAnsi="Times New Roman"/>
          <w:sz w:val="22"/>
          <w:szCs w:val="22"/>
        </w:rPr>
        <w:t>i</w:t>
      </w:r>
      <w:r w:rsidR="00E8422F" w:rsidRPr="00E8422F">
        <w:rPr>
          <w:rFonts w:ascii="Times New Roman" w:hAnsi="Times New Roman"/>
          <w:sz w:val="22"/>
          <w:szCs w:val="22"/>
        </w:rPr>
        <w:t xml:space="preserve">t may suffer the consequence of UE reporting ‘inapplicable’ with </w:t>
      </w:r>
      <w:r w:rsidR="00E8422F" w:rsidRPr="00E8422F">
        <w:rPr>
          <w:rFonts w:ascii="Times New Roman" w:hAnsi="Times New Roman"/>
          <w:i/>
          <w:iCs/>
          <w:sz w:val="22"/>
          <w:szCs w:val="22"/>
        </w:rPr>
        <w:t>RRCReconfigurationComplete</w:t>
      </w:r>
      <w:r w:rsidRPr="008B64B9">
        <w:rPr>
          <w:rFonts w:ascii="Times New Roman" w:hAnsi="Times New Roman"/>
          <w:sz w:val="22"/>
          <w:szCs w:val="22"/>
        </w:rPr>
        <w:t>.</w:t>
      </w:r>
      <w:r w:rsidR="00E8422F" w:rsidRPr="00E8422F">
        <w:rPr>
          <w:rFonts w:ascii="Times New Roman" w:hAnsi="Times New Roman"/>
          <w:sz w:val="22"/>
          <w:szCs w:val="22"/>
        </w:rPr>
        <w:t xml:space="preserve"> </w:t>
      </w:r>
      <w:r w:rsidRPr="008B64B9">
        <w:rPr>
          <w:rFonts w:ascii="Times New Roman" w:hAnsi="Times New Roman"/>
          <w:sz w:val="22"/>
          <w:szCs w:val="22"/>
        </w:rPr>
        <w:t>On the other hand, if the paring ID information of the UE can be pre-known, Option A can achieve fast model activation.</w:t>
      </w:r>
      <w:r w:rsidR="003D1C3D" w:rsidRPr="008B64B9">
        <w:rPr>
          <w:rFonts w:ascii="Times New Roman" w:hAnsi="Times New Roman"/>
          <w:sz w:val="22"/>
          <w:szCs w:val="22"/>
        </w:rPr>
        <w:t xml:space="preserve"> In Option A, one or multiple paring ID(s) can be indicated per </w:t>
      </w:r>
      <w:r w:rsidR="003D1C3D" w:rsidRPr="008B64B9">
        <w:rPr>
          <w:rFonts w:ascii="Times New Roman" w:hAnsi="Times New Roman"/>
          <w:i/>
          <w:iCs/>
          <w:sz w:val="22"/>
          <w:szCs w:val="22"/>
        </w:rPr>
        <w:t>CSI-ReportConfigId</w:t>
      </w:r>
      <w:r w:rsidR="003D1C3D" w:rsidRPr="008B64B9">
        <w:rPr>
          <w:rFonts w:ascii="Times New Roman" w:hAnsi="Times New Roman"/>
          <w:sz w:val="22"/>
          <w:szCs w:val="22"/>
        </w:rPr>
        <w:t xml:space="preserve"> to the UE, upon NW’s prior pairing ID information of the UE.</w:t>
      </w:r>
    </w:p>
    <w:p w14:paraId="7FAAF967" w14:textId="0A0C2DCB" w:rsidR="00E8422F" w:rsidRPr="008B64B9" w:rsidRDefault="007B6941" w:rsidP="00E8422F">
      <w:pPr>
        <w:pStyle w:val="BodyText"/>
        <w:rPr>
          <w:rFonts w:ascii="Times New Roman" w:hAnsi="Times New Roman"/>
          <w:i/>
          <w:iCs/>
          <w:sz w:val="22"/>
          <w:szCs w:val="22"/>
        </w:rPr>
      </w:pPr>
      <w:r w:rsidRPr="008B64B9">
        <w:rPr>
          <w:rFonts w:ascii="Times New Roman" w:hAnsi="Times New Roman"/>
          <w:sz w:val="22"/>
          <w:szCs w:val="22"/>
        </w:rPr>
        <w:t xml:space="preserve">For </w:t>
      </w:r>
      <w:r w:rsidR="00E8422F" w:rsidRPr="008B64B9">
        <w:rPr>
          <w:rFonts w:ascii="Times New Roman" w:hAnsi="Times New Roman"/>
          <w:sz w:val="22"/>
          <w:szCs w:val="22"/>
        </w:rPr>
        <w:t>Option B</w:t>
      </w:r>
      <w:r w:rsidRPr="008B64B9">
        <w:rPr>
          <w:rFonts w:ascii="Times New Roman" w:hAnsi="Times New Roman"/>
          <w:sz w:val="22"/>
          <w:szCs w:val="22"/>
        </w:rPr>
        <w:t>,</w:t>
      </w:r>
      <w:r w:rsidR="00E8422F" w:rsidRPr="008B64B9">
        <w:rPr>
          <w:rFonts w:ascii="Times New Roman" w:hAnsi="Times New Roman"/>
          <w:sz w:val="22"/>
          <w:szCs w:val="22"/>
        </w:rPr>
        <w:t xml:space="preserve"> UE’s applicability status handshake </w:t>
      </w:r>
      <w:r w:rsidR="007D6D49">
        <w:rPr>
          <w:rFonts w:ascii="Times New Roman" w:hAnsi="Times New Roman" w:hint="eastAsia"/>
          <w:sz w:val="22"/>
          <w:szCs w:val="22"/>
        </w:rPr>
        <w:t>can be</w:t>
      </w:r>
      <w:r w:rsidR="00E8422F" w:rsidRPr="008B64B9">
        <w:rPr>
          <w:rFonts w:ascii="Times New Roman" w:hAnsi="Times New Roman"/>
          <w:sz w:val="22"/>
          <w:szCs w:val="22"/>
        </w:rPr>
        <w:t xml:space="preserve"> done first</w:t>
      </w:r>
      <w:r w:rsidR="007D6D49">
        <w:rPr>
          <w:rFonts w:ascii="Times New Roman" w:hAnsi="Times New Roman" w:hint="eastAsia"/>
          <w:sz w:val="22"/>
          <w:szCs w:val="22"/>
        </w:rPr>
        <w:t>.</w:t>
      </w:r>
      <w:r w:rsidR="00E8422F" w:rsidRPr="008B64B9">
        <w:rPr>
          <w:rFonts w:ascii="Times New Roman" w:hAnsi="Times New Roman"/>
          <w:sz w:val="22"/>
          <w:szCs w:val="22"/>
        </w:rPr>
        <w:t xml:space="preserve"> </w:t>
      </w:r>
      <w:r w:rsidR="007D6D49" w:rsidRPr="008B64B9">
        <w:rPr>
          <w:rFonts w:ascii="Times New Roman" w:hAnsi="Times New Roman"/>
          <w:sz w:val="22"/>
          <w:szCs w:val="22"/>
          <w:lang w:val="en-US"/>
        </w:rPr>
        <w:t xml:space="preserve">In Option B, </w:t>
      </w:r>
      <w:r w:rsidR="007D6D49">
        <w:rPr>
          <w:rFonts w:ascii="Times New Roman" w:hAnsi="Times New Roman" w:hint="eastAsia"/>
          <w:sz w:val="22"/>
          <w:szCs w:val="22"/>
          <w:lang w:val="en-US"/>
        </w:rPr>
        <w:t xml:space="preserve">NW may configure </w:t>
      </w:r>
      <w:r w:rsidR="007D6D49" w:rsidRPr="008B64B9">
        <w:rPr>
          <w:rFonts w:ascii="Times New Roman" w:hAnsi="Times New Roman"/>
          <w:sz w:val="22"/>
          <w:szCs w:val="22"/>
        </w:rPr>
        <w:t xml:space="preserve">multiple pairing ID(s) </w:t>
      </w:r>
      <w:r w:rsidR="007D6D49" w:rsidRPr="007D6D49">
        <w:rPr>
          <w:rFonts w:ascii="Times New Roman" w:hAnsi="Times New Roman" w:hint="eastAsia"/>
          <w:sz w:val="22"/>
          <w:szCs w:val="22"/>
        </w:rPr>
        <w:t xml:space="preserve">to </w:t>
      </w:r>
      <w:r w:rsidR="007D6D49">
        <w:rPr>
          <w:rFonts w:ascii="Times New Roman" w:hAnsi="Times New Roman" w:hint="eastAsia"/>
          <w:sz w:val="22"/>
          <w:szCs w:val="22"/>
        </w:rPr>
        <w:t xml:space="preserve">a </w:t>
      </w:r>
      <w:r w:rsidR="007D6D49" w:rsidRPr="007D6D49">
        <w:rPr>
          <w:rFonts w:ascii="Times New Roman" w:hAnsi="Times New Roman" w:hint="eastAsia"/>
          <w:sz w:val="22"/>
          <w:szCs w:val="22"/>
        </w:rPr>
        <w:t>UE</w:t>
      </w:r>
      <w:r w:rsidR="007D6D49" w:rsidRPr="008B64B9">
        <w:rPr>
          <w:rFonts w:ascii="Times New Roman" w:hAnsi="Times New Roman"/>
          <w:sz w:val="22"/>
          <w:szCs w:val="22"/>
        </w:rPr>
        <w:t xml:space="preserve"> in the applicability configurations via </w:t>
      </w:r>
      <w:r w:rsidR="007D6D49" w:rsidRPr="008B64B9">
        <w:rPr>
          <w:rFonts w:ascii="Times New Roman" w:hAnsi="Times New Roman"/>
          <w:i/>
          <w:iCs/>
          <w:sz w:val="22"/>
          <w:szCs w:val="22"/>
        </w:rPr>
        <w:t>OtherConfig.</w:t>
      </w:r>
      <w:r w:rsidR="007D6D49">
        <w:rPr>
          <w:rFonts w:ascii="Times New Roman" w:hAnsi="Times New Roman" w:hint="eastAsia"/>
          <w:i/>
          <w:iCs/>
          <w:sz w:val="22"/>
          <w:szCs w:val="22"/>
        </w:rPr>
        <w:t xml:space="preserve"> </w:t>
      </w:r>
      <w:r w:rsidR="007D6D49" w:rsidRPr="007D6D49">
        <w:rPr>
          <w:rFonts w:ascii="Times New Roman" w:hAnsi="Times New Roman" w:hint="eastAsia"/>
          <w:sz w:val="22"/>
          <w:szCs w:val="22"/>
        </w:rPr>
        <w:t>In applicability report,</w:t>
      </w:r>
      <w:r w:rsidR="007D6D49">
        <w:rPr>
          <w:rFonts w:ascii="Times New Roman" w:hAnsi="Times New Roman" w:hint="eastAsia"/>
          <w:i/>
          <w:iCs/>
          <w:sz w:val="22"/>
          <w:szCs w:val="22"/>
        </w:rPr>
        <w:t xml:space="preserve"> </w:t>
      </w:r>
      <w:r w:rsidR="007D6D49">
        <w:rPr>
          <w:rFonts w:ascii="Times New Roman" w:hAnsi="Times New Roman" w:hint="eastAsia"/>
          <w:sz w:val="22"/>
          <w:szCs w:val="22"/>
        </w:rPr>
        <w:t xml:space="preserve">the </w:t>
      </w:r>
      <w:r w:rsidRPr="008B64B9">
        <w:rPr>
          <w:rFonts w:ascii="Times New Roman" w:hAnsi="Times New Roman"/>
          <w:sz w:val="22"/>
          <w:szCs w:val="22"/>
        </w:rPr>
        <w:t>UE</w:t>
      </w:r>
      <w:r w:rsidR="003D1C3D" w:rsidRPr="008B64B9">
        <w:rPr>
          <w:rFonts w:ascii="Times New Roman" w:hAnsi="Times New Roman"/>
          <w:sz w:val="22"/>
          <w:szCs w:val="22"/>
        </w:rPr>
        <w:t xml:space="preserve"> feedback its supported pairing ID</w:t>
      </w:r>
      <w:r w:rsidR="007D6D49">
        <w:rPr>
          <w:rFonts w:ascii="Times New Roman" w:hAnsi="Times New Roman" w:hint="eastAsia"/>
          <w:sz w:val="22"/>
          <w:szCs w:val="22"/>
        </w:rPr>
        <w:t>(s)</w:t>
      </w:r>
      <w:r w:rsidR="003D1C3D" w:rsidRPr="008B64B9">
        <w:rPr>
          <w:rFonts w:ascii="Times New Roman" w:hAnsi="Times New Roman"/>
          <w:sz w:val="22"/>
          <w:szCs w:val="22"/>
        </w:rPr>
        <w:t xml:space="preserve"> as </w:t>
      </w:r>
      <w:r w:rsidR="005F2B6B">
        <w:rPr>
          <w:rFonts w:ascii="Times New Roman" w:hAnsi="Times New Roman" w:hint="eastAsia"/>
          <w:sz w:val="22"/>
          <w:szCs w:val="22"/>
        </w:rPr>
        <w:t xml:space="preserve">the </w:t>
      </w:r>
      <w:r w:rsidR="003D1C3D" w:rsidRPr="008B64B9">
        <w:rPr>
          <w:rFonts w:ascii="Times New Roman" w:hAnsi="Times New Roman"/>
          <w:sz w:val="22"/>
          <w:szCs w:val="22"/>
        </w:rPr>
        <w:t xml:space="preserve">response. In this way, pairing ID alignment </w:t>
      </w:r>
      <w:r w:rsidR="005F2B6B">
        <w:rPr>
          <w:rFonts w:ascii="Times New Roman" w:hAnsi="Times New Roman" w:hint="eastAsia"/>
          <w:sz w:val="22"/>
          <w:szCs w:val="22"/>
        </w:rPr>
        <w:t>can be</w:t>
      </w:r>
      <w:r w:rsidR="003D1C3D" w:rsidRPr="008B64B9">
        <w:rPr>
          <w:rFonts w:ascii="Times New Roman" w:hAnsi="Times New Roman"/>
          <w:sz w:val="22"/>
          <w:szCs w:val="22"/>
        </w:rPr>
        <w:t xml:space="preserve"> achieved. After the applicability handshake</w:t>
      </w:r>
      <w:r w:rsidR="007D6D49">
        <w:rPr>
          <w:rFonts w:ascii="Times New Roman" w:hAnsi="Times New Roman" w:hint="eastAsia"/>
          <w:sz w:val="22"/>
          <w:szCs w:val="22"/>
          <w:lang w:val="en-US"/>
        </w:rPr>
        <w:t>,</w:t>
      </w:r>
      <w:r w:rsidR="003D1C3D" w:rsidRPr="008B64B9">
        <w:rPr>
          <w:rFonts w:ascii="Times New Roman" w:hAnsi="Times New Roman"/>
          <w:sz w:val="22"/>
          <w:szCs w:val="22"/>
          <w:lang w:val="en-US"/>
        </w:rPr>
        <w:t xml:space="preserve"> </w:t>
      </w:r>
      <w:r w:rsidR="005F2B6B">
        <w:rPr>
          <w:rFonts w:ascii="Times New Roman" w:hAnsi="Times New Roman" w:hint="eastAsia"/>
          <w:sz w:val="22"/>
          <w:szCs w:val="22"/>
          <w:lang w:val="en-US"/>
        </w:rPr>
        <w:t>Option A can be used for model inference, wherein a single pairing ID can be configured for activation of the corresponding encoder.</w:t>
      </w:r>
    </w:p>
    <w:p w14:paraId="5C101F61" w14:textId="77777777" w:rsidR="003D1C3D" w:rsidRPr="003D1C3D" w:rsidRDefault="003D1C3D" w:rsidP="003D1C3D">
      <w:pPr>
        <w:pStyle w:val="BodyText"/>
        <w:rPr>
          <w:rFonts w:ascii="Times New Roman" w:hAnsi="Times New Roman"/>
          <w:sz w:val="22"/>
          <w:szCs w:val="22"/>
          <w:lang w:val="en-US"/>
        </w:rPr>
      </w:pPr>
      <w:r w:rsidRPr="003D1C3D">
        <w:rPr>
          <w:rFonts w:ascii="Times New Roman" w:hAnsi="Times New Roman"/>
          <w:b/>
          <w:bCs/>
          <w:sz w:val="22"/>
          <w:szCs w:val="22"/>
          <w:lang w:val="en-US"/>
        </w:rPr>
        <w:lastRenderedPageBreak/>
        <w:t>Proposal-4: RAN2 confirms that both Option A and Option B in Step 3 are supportive in the model pairing procedure for inference.</w:t>
      </w:r>
    </w:p>
    <w:p w14:paraId="57BC18FD" w14:textId="717E9C1D" w:rsidR="003D1C3D" w:rsidRPr="008B64B9" w:rsidRDefault="003D1C3D" w:rsidP="008B64B9">
      <w:pPr>
        <w:pStyle w:val="BodyText"/>
        <w:ind w:firstLine="567"/>
        <w:rPr>
          <w:rFonts w:ascii="Times New Roman" w:hAnsi="Times New Roman"/>
          <w:sz w:val="22"/>
          <w:szCs w:val="22"/>
          <w:lang w:val="en-US"/>
        </w:rPr>
      </w:pPr>
      <w:r w:rsidRPr="003D1C3D">
        <w:rPr>
          <w:rFonts w:ascii="Times New Roman" w:hAnsi="Times New Roman"/>
          <w:b/>
          <w:bCs/>
          <w:sz w:val="22"/>
          <w:szCs w:val="22"/>
          <w:lang w:val="en-US"/>
        </w:rPr>
        <w:t>FFS the signaling details of Option A and Option B.</w:t>
      </w:r>
    </w:p>
    <w:p w14:paraId="2D6DC46C" w14:textId="2A3857D4" w:rsidR="0082509E" w:rsidRPr="00801006" w:rsidRDefault="0082509E" w:rsidP="0082509E">
      <w:pPr>
        <w:pStyle w:val="Heading1"/>
        <w:rPr>
          <w:lang w:eastAsia="zh-CN"/>
        </w:rPr>
      </w:pPr>
      <w:bookmarkStart w:id="7" w:name="_Ref189046994"/>
      <w:r>
        <w:rPr>
          <w:rFonts w:hint="eastAsia"/>
          <w:lang w:eastAsia="zh-CN"/>
        </w:rPr>
        <w:t>4</w:t>
      </w:r>
      <w:r w:rsidRPr="00F6384D">
        <w:tab/>
      </w:r>
      <w:r>
        <w:rPr>
          <w:rFonts w:hint="eastAsia"/>
          <w:lang w:eastAsia="zh-CN"/>
        </w:rPr>
        <w:t>Conclusions</w:t>
      </w:r>
    </w:p>
    <w:p w14:paraId="0055AE25" w14:textId="77777777" w:rsidR="008B64B9" w:rsidRPr="008B64B9" w:rsidRDefault="008B64B9" w:rsidP="008B64B9">
      <w:pPr>
        <w:pStyle w:val="Proposal"/>
        <w:numPr>
          <w:ilvl w:val="0"/>
          <w:numId w:val="44"/>
        </w:numPr>
        <w:rPr>
          <w:rFonts w:ascii="Times New Roman" w:hAnsi="Times New Roman"/>
          <w:sz w:val="22"/>
          <w:szCs w:val="22"/>
        </w:rPr>
      </w:pPr>
      <w:r w:rsidRPr="008B64B9">
        <w:rPr>
          <w:rFonts w:ascii="Times New Roman" w:hAnsi="Times New Roman"/>
          <w:sz w:val="22"/>
          <w:szCs w:val="22"/>
        </w:rPr>
        <w:t>For Option 4-1 under Direction A in AI/ML based CSI compression, RAN2 concludes that the pairing ID is a global unique ID.</w:t>
      </w:r>
    </w:p>
    <w:p w14:paraId="12558B9C" w14:textId="77777777" w:rsidR="005829CA" w:rsidRPr="005829CA" w:rsidRDefault="005829CA" w:rsidP="005829CA">
      <w:pPr>
        <w:pStyle w:val="Proposal"/>
        <w:rPr>
          <w:rFonts w:ascii="Times New Roman" w:hAnsi="Times New Roman"/>
          <w:sz w:val="22"/>
          <w:szCs w:val="22"/>
          <w:lang w:val="en-US"/>
        </w:rPr>
      </w:pPr>
      <w:r w:rsidRPr="005829CA">
        <w:rPr>
          <w:rFonts w:ascii="Times New Roman" w:hAnsi="Times New Roman"/>
          <w:sz w:val="22"/>
          <w:szCs w:val="22"/>
          <w:lang w:val="en-US"/>
        </w:rPr>
        <w:t>For Option 3a-1 under Direction A in AI/ML based CSI compression, one pairing ID is assigned to one model parameter set of reference encoder.</w:t>
      </w:r>
    </w:p>
    <w:p w14:paraId="61D00520" w14:textId="77777777" w:rsidR="008B64B9" w:rsidRPr="008B64B9" w:rsidRDefault="008B64B9" w:rsidP="008B64B9">
      <w:pPr>
        <w:pStyle w:val="Proposal"/>
        <w:rPr>
          <w:rFonts w:ascii="Times New Roman" w:hAnsi="Times New Roman"/>
          <w:sz w:val="22"/>
          <w:szCs w:val="22"/>
          <w:lang w:val="en-US"/>
        </w:rPr>
      </w:pPr>
      <w:r w:rsidRPr="13E0D201">
        <w:rPr>
          <w:rFonts w:ascii="Times New Roman" w:hAnsi="Times New Roman"/>
          <w:sz w:val="22"/>
          <w:szCs w:val="22"/>
          <w:lang w:val="en-US"/>
        </w:rPr>
        <w:t>For Option 3a-1 under Direction A in AI/ML based CSI compression, RAN2 concludes that the pairing ID is a global unique ID.</w:t>
      </w:r>
    </w:p>
    <w:p w14:paraId="0FA33DDE" w14:textId="77777777" w:rsidR="008B64B9" w:rsidRPr="008B64B9" w:rsidRDefault="008B64B9" w:rsidP="008B64B9">
      <w:pPr>
        <w:pStyle w:val="Proposal"/>
        <w:rPr>
          <w:rFonts w:ascii="Times New Roman" w:hAnsi="Times New Roman"/>
          <w:sz w:val="22"/>
          <w:szCs w:val="22"/>
          <w:lang w:val="en-US"/>
        </w:rPr>
      </w:pPr>
      <w:r w:rsidRPr="008B64B9">
        <w:rPr>
          <w:rFonts w:ascii="Times New Roman" w:hAnsi="Times New Roman"/>
          <w:sz w:val="22"/>
          <w:szCs w:val="22"/>
          <w:lang w:val="en-US"/>
        </w:rPr>
        <w:t>Proposal-4: RAN2 confirms that both Option A and Option B in Step 3 are supportive in the model pairing procedure for inference.</w:t>
      </w:r>
    </w:p>
    <w:p w14:paraId="144D1B38" w14:textId="55CA8F67" w:rsidR="00E76BAD" w:rsidRPr="008B64B9" w:rsidRDefault="008B64B9" w:rsidP="008B64B9">
      <w:pPr>
        <w:pStyle w:val="Proposal"/>
        <w:numPr>
          <w:ilvl w:val="0"/>
          <w:numId w:val="0"/>
        </w:numPr>
        <w:ind w:left="1304"/>
        <w:rPr>
          <w:rFonts w:ascii="Times New Roman" w:hAnsi="Times New Roman"/>
          <w:sz w:val="22"/>
          <w:szCs w:val="22"/>
          <w:lang w:val="en-US"/>
        </w:rPr>
      </w:pPr>
      <w:r w:rsidRPr="008B64B9">
        <w:rPr>
          <w:rFonts w:ascii="Times New Roman" w:hAnsi="Times New Roman"/>
          <w:sz w:val="22"/>
          <w:szCs w:val="22"/>
          <w:lang w:val="en-US"/>
        </w:rPr>
        <w:t>FFS the signaling details of Option A and Option B.</w:t>
      </w:r>
    </w:p>
    <w:p w14:paraId="6D19E1CC" w14:textId="77777777" w:rsidR="00E76BAD" w:rsidRPr="00F6384D" w:rsidRDefault="00E76BAD" w:rsidP="00E76BAD">
      <w:pPr>
        <w:pStyle w:val="Heading1"/>
      </w:pPr>
      <w:r>
        <w:t>5</w:t>
      </w:r>
      <w:r w:rsidRPr="00F6384D">
        <w:tab/>
        <w:t>References</w:t>
      </w:r>
    </w:p>
    <w:p w14:paraId="44F0BEB8" w14:textId="64C549D2" w:rsidR="0047148A" w:rsidRDefault="00D00E5C" w:rsidP="001F67E5">
      <w:pPr>
        <w:pStyle w:val="Reference"/>
      </w:pPr>
      <w:bookmarkStart w:id="8" w:name="_Ref220000766"/>
      <w:bookmarkEnd w:id="7"/>
      <w:r w:rsidRPr="0082509E">
        <w:t>RP-2</w:t>
      </w:r>
      <w:r w:rsidR="0082509E">
        <w:rPr>
          <w:rFonts w:hint="eastAsia"/>
        </w:rPr>
        <w:t>53340</w:t>
      </w:r>
      <w:r>
        <w:t>, W</w:t>
      </w:r>
      <w:r w:rsidR="0047148A">
        <w:t>ID</w:t>
      </w:r>
      <w:r w:rsidR="0047148A" w:rsidRPr="00F6384D">
        <w:t xml:space="preserve"> </w:t>
      </w:r>
      <w:r w:rsidR="0047148A" w:rsidRPr="00AC25A9">
        <w:rPr>
          <w:i/>
          <w:iCs/>
        </w:rPr>
        <w:t>“</w:t>
      </w:r>
      <w:r w:rsidR="0082509E" w:rsidRPr="0082509E">
        <w:rPr>
          <w:i/>
          <w:iCs/>
        </w:rPr>
        <w:t>Revised WID: Artificial Intelligence (AI)/Machine Learning (ML) for NR air interface Phase 2</w:t>
      </w:r>
      <w:r w:rsidR="0047148A" w:rsidRPr="00AC25A9">
        <w:rPr>
          <w:i/>
          <w:iCs/>
        </w:rPr>
        <w:t>”</w:t>
      </w:r>
      <w:r>
        <w:t xml:space="preserve">, </w:t>
      </w:r>
      <w:r w:rsidR="0047148A" w:rsidRPr="00F6384D">
        <w:t>RAN#</w:t>
      </w:r>
      <w:r w:rsidR="0047148A">
        <w:t>1</w:t>
      </w:r>
      <w:r w:rsidR="0082509E">
        <w:rPr>
          <w:rFonts w:hint="eastAsia"/>
        </w:rPr>
        <w:t>10</w:t>
      </w:r>
      <w:r w:rsidR="0047148A" w:rsidRPr="00F6384D">
        <w:t>, December 202</w:t>
      </w:r>
      <w:r w:rsidR="0082509E">
        <w:rPr>
          <w:rFonts w:hint="eastAsia"/>
        </w:rPr>
        <w:t>5</w:t>
      </w:r>
      <w:bookmarkEnd w:id="8"/>
    </w:p>
    <w:p w14:paraId="73842E30" w14:textId="5A58632E" w:rsidR="00465C5B" w:rsidRPr="00E76BAD" w:rsidRDefault="0047148A" w:rsidP="0082509E">
      <w:pPr>
        <w:pStyle w:val="Reference"/>
      </w:pPr>
      <w:bookmarkStart w:id="9" w:name="_Ref220000856"/>
      <w:r w:rsidRPr="0082509E">
        <w:t>TR 38.843</w:t>
      </w:r>
      <w:r w:rsidR="00D00E5C">
        <w:t xml:space="preserve">, </w:t>
      </w:r>
      <w:r w:rsidR="00317D3F">
        <w:t>“</w:t>
      </w:r>
      <w:r w:rsidR="00317D3F" w:rsidRPr="00317D3F">
        <w:t>Study on Artificial Intelligence (AI)/Machine Learning (ML) for NR air interface</w:t>
      </w:r>
      <w:r w:rsidR="00317D3F">
        <w:t xml:space="preserve">”, </w:t>
      </w:r>
      <w:r w:rsidR="005E46BC">
        <w:t>v18.0.0</w:t>
      </w:r>
      <w:bookmarkEnd w:id="9"/>
    </w:p>
    <w:sectPr w:rsidR="00465C5B" w:rsidRPr="00E76BAD"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77BE" w14:textId="77777777" w:rsidR="00A8084F" w:rsidRDefault="00A8084F">
      <w:r>
        <w:separator/>
      </w:r>
    </w:p>
  </w:endnote>
  <w:endnote w:type="continuationSeparator" w:id="0">
    <w:p w14:paraId="29A0C680" w14:textId="77777777" w:rsidR="00A8084F" w:rsidRDefault="00A8084F">
      <w:r>
        <w:continuationSeparator/>
      </w:r>
    </w:p>
  </w:endnote>
  <w:endnote w:type="continuationNotice" w:id="1">
    <w:p w14:paraId="52089CC5" w14:textId="77777777" w:rsidR="00A8084F" w:rsidRDefault="00A80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21A1B" w14:textId="77777777" w:rsidR="00A8084F" w:rsidRDefault="00A8084F">
      <w:r>
        <w:separator/>
      </w:r>
    </w:p>
  </w:footnote>
  <w:footnote w:type="continuationSeparator" w:id="0">
    <w:p w14:paraId="2F95A875" w14:textId="77777777" w:rsidR="00A8084F" w:rsidRDefault="00A8084F">
      <w:r>
        <w:continuationSeparator/>
      </w:r>
    </w:p>
  </w:footnote>
  <w:footnote w:type="continuationNotice" w:id="1">
    <w:p w14:paraId="2541D14B" w14:textId="77777777" w:rsidR="00A8084F" w:rsidRDefault="00A80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9C36DF1" w:rsidR="00100BB5" w:rsidRDefault="00100BB5">
    <w:r>
      <w:t xml:space="preserve">Page </w:t>
    </w:r>
    <w:r>
      <w:fldChar w:fldCharType="begin"/>
    </w:r>
    <w:r>
      <w:instrText>PAGE</w:instrText>
    </w:r>
    <w:r>
      <w:fldChar w:fldCharType="separate"/>
    </w:r>
    <w:r>
      <w:t>4</w:t>
    </w:r>
    <w:r>
      <w:fldChar w:fldCharType="end"/>
    </w:r>
    <w:r>
      <w:br/>
      <w:t xml:space="preserve">Draft </w:t>
    </w:r>
    <w:r w:rsidR="00DE4799">
      <w:t>pets</w:t>
    </w:r>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2"/>
  </w:num>
  <w:num w:numId="2" w16cid:durableId="727462362">
    <w:abstractNumId w:val="18"/>
  </w:num>
  <w:num w:numId="3" w16cid:durableId="2124568239">
    <w:abstractNumId w:val="1"/>
  </w:num>
  <w:num w:numId="4" w16cid:durableId="91632860">
    <w:abstractNumId w:val="23"/>
  </w:num>
  <w:num w:numId="5" w16cid:durableId="284310792">
    <w:abstractNumId w:val="25"/>
  </w:num>
  <w:num w:numId="6" w16cid:durableId="2048413274">
    <w:abstractNumId w:val="30"/>
  </w:num>
  <w:num w:numId="7" w16cid:durableId="1457287000">
    <w:abstractNumId w:val="8"/>
  </w:num>
  <w:num w:numId="8" w16cid:durableId="870798971">
    <w:abstractNumId w:val="10"/>
  </w:num>
  <w:num w:numId="9" w16cid:durableId="1671054548">
    <w:abstractNumId w:val="5"/>
  </w:num>
  <w:num w:numId="10" w16cid:durableId="85882830">
    <w:abstractNumId w:val="40"/>
  </w:num>
  <w:num w:numId="11" w16cid:durableId="1525285988">
    <w:abstractNumId w:val="14"/>
  </w:num>
  <w:num w:numId="12" w16cid:durableId="1175653256">
    <w:abstractNumId w:val="36"/>
  </w:num>
  <w:num w:numId="13" w16cid:durableId="1748768366">
    <w:abstractNumId w:val="37"/>
  </w:num>
  <w:num w:numId="14" w16cid:durableId="1413619425">
    <w:abstractNumId w:val="11"/>
  </w:num>
  <w:num w:numId="15" w16cid:durableId="436677614">
    <w:abstractNumId w:val="33"/>
  </w:num>
  <w:num w:numId="16" w16cid:durableId="2031255218">
    <w:abstractNumId w:val="34"/>
  </w:num>
  <w:num w:numId="17" w16cid:durableId="284896224">
    <w:abstractNumId w:val="38"/>
  </w:num>
  <w:num w:numId="18" w16cid:durableId="2049715505">
    <w:abstractNumId w:val="13"/>
  </w:num>
  <w:num w:numId="19" w16cid:durableId="9351409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1"/>
  </w:num>
  <w:num w:numId="21" w16cid:durableId="1984264940">
    <w:abstractNumId w:val="39"/>
  </w:num>
  <w:num w:numId="22" w16cid:durableId="638875000">
    <w:abstractNumId w:val="17"/>
  </w:num>
  <w:num w:numId="23" w16cid:durableId="1599096007">
    <w:abstractNumId w:val="42"/>
  </w:num>
  <w:num w:numId="24" w16cid:durableId="251134335">
    <w:abstractNumId w:val="20"/>
  </w:num>
  <w:num w:numId="25" w16cid:durableId="1099134968">
    <w:abstractNumId w:val="28"/>
  </w:num>
  <w:num w:numId="26" w16cid:durableId="880439577">
    <w:abstractNumId w:val="32"/>
  </w:num>
  <w:num w:numId="27" w16cid:durableId="856964486">
    <w:abstractNumId w:val="4"/>
  </w:num>
  <w:num w:numId="28" w16cid:durableId="1252859387">
    <w:abstractNumId w:val="3"/>
  </w:num>
  <w:num w:numId="29" w16cid:durableId="1256667897">
    <w:abstractNumId w:val="12"/>
  </w:num>
  <w:num w:numId="30" w16cid:durableId="1644500134">
    <w:abstractNumId w:val="41"/>
  </w:num>
  <w:num w:numId="31" w16cid:durableId="228004121">
    <w:abstractNumId w:val="6"/>
  </w:num>
  <w:num w:numId="32" w16cid:durableId="260535198">
    <w:abstractNumId w:val="15"/>
  </w:num>
  <w:num w:numId="33" w16cid:durableId="960763722">
    <w:abstractNumId w:val="19"/>
  </w:num>
  <w:num w:numId="34" w16cid:durableId="230577499">
    <w:abstractNumId w:val="31"/>
  </w:num>
  <w:num w:numId="35" w16cid:durableId="119686393">
    <w:abstractNumId w:val="27"/>
  </w:num>
  <w:num w:numId="36" w16cid:durableId="1860705412">
    <w:abstractNumId w:val="24"/>
  </w:num>
  <w:num w:numId="37" w16cid:durableId="1217819442">
    <w:abstractNumId w:val="7"/>
  </w:num>
  <w:num w:numId="38" w16cid:durableId="360478214">
    <w:abstractNumId w:val="29"/>
  </w:num>
  <w:num w:numId="39" w16cid:durableId="1626735693">
    <w:abstractNumId w:val="26"/>
  </w:num>
  <w:num w:numId="40" w16cid:durableId="1018194159">
    <w:abstractNumId w:val="0"/>
  </w:num>
  <w:num w:numId="41" w16cid:durableId="577595716">
    <w:abstractNumId w:val="9"/>
  </w:num>
  <w:num w:numId="42" w16cid:durableId="1469592555">
    <w:abstractNumId w:val="35"/>
  </w:num>
  <w:num w:numId="43" w16cid:durableId="112553404">
    <w:abstractNumId w:val="2"/>
  </w:num>
  <w:num w:numId="44" w16cid:durableId="931863072">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11E"/>
    <w:rsid w:val="00047330"/>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0911"/>
    <w:rsid w:val="001412FF"/>
    <w:rsid w:val="00142805"/>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2BEC"/>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4E3"/>
    <w:rsid w:val="001D654F"/>
    <w:rsid w:val="001D6962"/>
    <w:rsid w:val="001D6CB0"/>
    <w:rsid w:val="001D6D53"/>
    <w:rsid w:val="001D719E"/>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422"/>
    <w:rsid w:val="003A1523"/>
    <w:rsid w:val="003A17B6"/>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9B3"/>
    <w:rsid w:val="003B0EC1"/>
    <w:rsid w:val="003B135A"/>
    <w:rsid w:val="003B159C"/>
    <w:rsid w:val="003B2FD8"/>
    <w:rsid w:val="003B369F"/>
    <w:rsid w:val="003B36A3"/>
    <w:rsid w:val="003B486E"/>
    <w:rsid w:val="003B51AB"/>
    <w:rsid w:val="003B57E5"/>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916"/>
    <w:rsid w:val="00405CA5"/>
    <w:rsid w:val="004061B3"/>
    <w:rsid w:val="00406AAA"/>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448B"/>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70082"/>
    <w:rsid w:val="00470C31"/>
    <w:rsid w:val="00470EFC"/>
    <w:rsid w:val="0047148A"/>
    <w:rsid w:val="00471DE0"/>
    <w:rsid w:val="00471FE4"/>
    <w:rsid w:val="00472239"/>
    <w:rsid w:val="004727A1"/>
    <w:rsid w:val="004729D9"/>
    <w:rsid w:val="00472A0C"/>
    <w:rsid w:val="004734D0"/>
    <w:rsid w:val="00473579"/>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6A8B"/>
    <w:rsid w:val="00486C91"/>
    <w:rsid w:val="00486D7A"/>
    <w:rsid w:val="00487AC8"/>
    <w:rsid w:val="00487BAB"/>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912"/>
    <w:rsid w:val="00540F06"/>
    <w:rsid w:val="00541078"/>
    <w:rsid w:val="00541A27"/>
    <w:rsid w:val="00541EEB"/>
    <w:rsid w:val="0054236C"/>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4EB3"/>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29CA"/>
    <w:rsid w:val="0058307B"/>
    <w:rsid w:val="00583769"/>
    <w:rsid w:val="00583B42"/>
    <w:rsid w:val="00583F65"/>
    <w:rsid w:val="00583FA5"/>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028"/>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B6B"/>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110"/>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57A"/>
    <w:rsid w:val="006E76DD"/>
    <w:rsid w:val="006E776A"/>
    <w:rsid w:val="006E7AEA"/>
    <w:rsid w:val="006E7D3B"/>
    <w:rsid w:val="006F0491"/>
    <w:rsid w:val="006F19E9"/>
    <w:rsid w:val="006F1B70"/>
    <w:rsid w:val="006F1BAE"/>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284"/>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7F2"/>
    <w:rsid w:val="007B2C3D"/>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D01AC"/>
    <w:rsid w:val="007D0445"/>
    <w:rsid w:val="007D04E5"/>
    <w:rsid w:val="007D0759"/>
    <w:rsid w:val="007D0D3A"/>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6D49"/>
    <w:rsid w:val="007D7293"/>
    <w:rsid w:val="007D7526"/>
    <w:rsid w:val="007D78DF"/>
    <w:rsid w:val="007D7AB6"/>
    <w:rsid w:val="007D7B99"/>
    <w:rsid w:val="007E0A23"/>
    <w:rsid w:val="007E110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6D20"/>
    <w:rsid w:val="007F730C"/>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32EA"/>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1226"/>
    <w:rsid w:val="00882555"/>
    <w:rsid w:val="00882636"/>
    <w:rsid w:val="008826CF"/>
    <w:rsid w:val="0088389E"/>
    <w:rsid w:val="008843E6"/>
    <w:rsid w:val="00884B84"/>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0E04"/>
    <w:rsid w:val="0090154E"/>
    <w:rsid w:val="00901723"/>
    <w:rsid w:val="00901E11"/>
    <w:rsid w:val="00902287"/>
    <w:rsid w:val="00902304"/>
    <w:rsid w:val="00902350"/>
    <w:rsid w:val="0090245E"/>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BD7"/>
    <w:rsid w:val="009F7C69"/>
    <w:rsid w:val="00A008EF"/>
    <w:rsid w:val="00A00F00"/>
    <w:rsid w:val="00A013F4"/>
    <w:rsid w:val="00A024E8"/>
    <w:rsid w:val="00A02A31"/>
    <w:rsid w:val="00A02F24"/>
    <w:rsid w:val="00A031D8"/>
    <w:rsid w:val="00A03328"/>
    <w:rsid w:val="00A048A8"/>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084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18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2F"/>
    <w:rsid w:val="00AE50CD"/>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B006A6"/>
    <w:rsid w:val="00B006FE"/>
    <w:rsid w:val="00B007CB"/>
    <w:rsid w:val="00B01299"/>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653"/>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3DFE"/>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03"/>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3A83"/>
    <w:rsid w:val="00CE3ED3"/>
    <w:rsid w:val="00CE400F"/>
    <w:rsid w:val="00CE4568"/>
    <w:rsid w:val="00CE45B4"/>
    <w:rsid w:val="00CE46E0"/>
    <w:rsid w:val="00CE471E"/>
    <w:rsid w:val="00CE590E"/>
    <w:rsid w:val="00CE5944"/>
    <w:rsid w:val="00CE61A5"/>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862"/>
    <w:rsid w:val="00D20FC6"/>
    <w:rsid w:val="00D211FE"/>
    <w:rsid w:val="00D21AA1"/>
    <w:rsid w:val="00D239A7"/>
    <w:rsid w:val="00D23F47"/>
    <w:rsid w:val="00D24F9D"/>
    <w:rsid w:val="00D24FD2"/>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ACF"/>
    <w:rsid w:val="00D35E2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260"/>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799"/>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22EF"/>
    <w:rsid w:val="00E123E5"/>
    <w:rsid w:val="00E13033"/>
    <w:rsid w:val="00E13BD0"/>
    <w:rsid w:val="00E13C2F"/>
    <w:rsid w:val="00E13D7A"/>
    <w:rsid w:val="00E147F2"/>
    <w:rsid w:val="00E14B6E"/>
    <w:rsid w:val="00E15554"/>
    <w:rsid w:val="00E15F08"/>
    <w:rsid w:val="00E1602B"/>
    <w:rsid w:val="00E164E3"/>
    <w:rsid w:val="00E169D7"/>
    <w:rsid w:val="00E16C4F"/>
    <w:rsid w:val="00E172ED"/>
    <w:rsid w:val="00E17BC5"/>
    <w:rsid w:val="00E17FA2"/>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308"/>
    <w:rsid w:val="00E54807"/>
    <w:rsid w:val="00E54E3B"/>
    <w:rsid w:val="00E55527"/>
    <w:rsid w:val="00E562DA"/>
    <w:rsid w:val="00E56B25"/>
    <w:rsid w:val="00E56D7A"/>
    <w:rsid w:val="00E57565"/>
    <w:rsid w:val="00E604AA"/>
    <w:rsid w:val="00E60ECD"/>
    <w:rsid w:val="00E612DB"/>
    <w:rsid w:val="00E614F4"/>
    <w:rsid w:val="00E621EE"/>
    <w:rsid w:val="00E6287A"/>
    <w:rsid w:val="00E636A6"/>
    <w:rsid w:val="00E63838"/>
    <w:rsid w:val="00E63BB1"/>
    <w:rsid w:val="00E64434"/>
    <w:rsid w:val="00E65470"/>
    <w:rsid w:val="00E67833"/>
    <w:rsid w:val="00E67AEA"/>
    <w:rsid w:val="00E67C51"/>
    <w:rsid w:val="00E67F15"/>
    <w:rsid w:val="00E70518"/>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121F"/>
    <w:rsid w:val="00EB17F1"/>
    <w:rsid w:val="00EB1B37"/>
    <w:rsid w:val="00EB1E06"/>
    <w:rsid w:val="00EB2AA1"/>
    <w:rsid w:val="00EB2F47"/>
    <w:rsid w:val="00EB3B8A"/>
    <w:rsid w:val="00EB455F"/>
    <w:rsid w:val="00EB4EA2"/>
    <w:rsid w:val="00EB51FC"/>
    <w:rsid w:val="00EB57B7"/>
    <w:rsid w:val="00EB5A4A"/>
    <w:rsid w:val="00EB6596"/>
    <w:rsid w:val="00EB6E40"/>
    <w:rsid w:val="00EB74F1"/>
    <w:rsid w:val="00EB76DD"/>
    <w:rsid w:val="00EC19E4"/>
    <w:rsid w:val="00EC1D0C"/>
    <w:rsid w:val="00EC24D5"/>
    <w:rsid w:val="00EC27C6"/>
    <w:rsid w:val="00EC328D"/>
    <w:rsid w:val="00EC340E"/>
    <w:rsid w:val="00EC362D"/>
    <w:rsid w:val="00EC3B2E"/>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3A16"/>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A8A"/>
    <w:rsid w:val="08212882"/>
    <w:rsid w:val="13E0D201"/>
    <w:rsid w:val="1DF093B7"/>
    <w:rsid w:val="2C8D14CD"/>
    <w:rsid w:val="2CB3269E"/>
    <w:rsid w:val="3C459059"/>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3F8A6F17-95E8-4E8A-AB62-5E7AF1A4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styleId="ListNumber5">
    <w:name w:val="List Number 5"/>
    <w:basedOn w:val="Normal"/>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04D31"/>
    <w:rPr>
      <w:rFonts w:ascii="Arial" w:hAnsi="Arial"/>
      <w:b/>
    </w:rPr>
  </w:style>
  <w:style w:type="paragraph" w:styleId="NormalWeb">
    <w:name w:val="Normal (Web)"/>
    <w:basedOn w:val="Normal"/>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5BC14E5-0F3A-4052-8C2E-95FBD8B0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Ry-xxxxxxx%20Contribution%20template.dotx</Template>
  <TotalTime>2</TotalTime>
  <Pages>3</Pages>
  <Words>1177</Words>
  <Characters>6712</Characters>
  <Application>Microsoft Office Word</Application>
  <DocSecurity>0</DocSecurity>
  <Lines>55</Lines>
  <Paragraphs>15</Paragraphs>
  <ScaleCrop>false</ScaleCrop>
  <Company>Ericsson</Company>
  <LinksUpToDate>false</LinksUpToDate>
  <CharactersWithSpaces>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Fujitsu (Chao Han)</cp:lastModifiedBy>
  <cp:revision>11</cp:revision>
  <cp:lastPrinted>2008-01-31T16:09:00Z</cp:lastPrinted>
  <dcterms:created xsi:type="dcterms:W3CDTF">2026-01-28T09:38:00Z</dcterms:created>
  <dcterms:modified xsi:type="dcterms:W3CDTF">2026-01-30T05:38:00Z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